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olors5.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olors3.xml" ContentType="application/vnd.ms-office.chartcolorstyle+xml"/>
  <Override PartName="/word/charts/colors4.xml" ContentType="application/vnd.ms-office.chartcolorstyl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harts/style5.xml" ContentType="application/vnd.ms-office.chartstyle+xml"/>
  <Override PartName="/word/charts/style3.xml" ContentType="application/vnd.ms-office.chartstyle+xml"/>
  <Override PartName="/word/charts/style4.xml" ContentType="application/vnd.ms-office.chartsty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Mar>
          <w:left w:w="0" w:type="dxa"/>
          <w:right w:w="0" w:type="dxa"/>
        </w:tblCellMar>
        <w:tblLook w:val="04A0"/>
      </w:tblPr>
      <w:tblGrid>
        <w:gridCol w:w="9639"/>
      </w:tblGrid>
      <w:tr w:rsidR="00580B11" w:rsidRPr="00580B11" w:rsidTr="00580B11">
        <w:tc>
          <w:tcPr>
            <w:tcW w:w="9639" w:type="dxa"/>
            <w:tcBorders>
              <w:top w:val="nil"/>
              <w:left w:val="nil"/>
              <w:bottom w:val="nil"/>
              <w:right w:val="nil"/>
            </w:tcBorders>
            <w:tcMar>
              <w:top w:w="0" w:type="dxa"/>
              <w:left w:w="108" w:type="dxa"/>
              <w:bottom w:w="0" w:type="dxa"/>
              <w:right w:w="108" w:type="dxa"/>
            </w:tcMar>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20"/>
                <w:szCs w:val="20"/>
                <w:lang w:eastAsia="ru-RU"/>
              </w:rPr>
              <w:t> </w:t>
            </w:r>
          </w:p>
        </w:tc>
      </w:tr>
    </w:tbl>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vanish/>
          <w:sz w:val="24"/>
          <w:szCs w:val="24"/>
          <w:lang w:eastAsia="ru-RU"/>
        </w:rPr>
        <w:t> </w:t>
      </w:r>
    </w:p>
    <w:tbl>
      <w:tblPr>
        <w:tblW w:w="9405" w:type="dxa"/>
        <w:tblInd w:w="93" w:type="dxa"/>
        <w:tblCellMar>
          <w:left w:w="0" w:type="dxa"/>
          <w:right w:w="0" w:type="dxa"/>
        </w:tblCellMar>
        <w:tblLook w:val="04A0"/>
      </w:tblPr>
      <w:tblGrid>
        <w:gridCol w:w="5940"/>
        <w:gridCol w:w="222"/>
        <w:gridCol w:w="1500"/>
        <w:gridCol w:w="1743"/>
      </w:tblGrid>
      <w:tr w:rsidR="00580B11" w:rsidRPr="00580B11" w:rsidTr="00580B11">
        <w:trPr>
          <w:trHeight w:val="27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b/>
                <w:sz w:val="20"/>
                <w:szCs w:val="20"/>
                <w:lang w:eastAsia="ru-RU"/>
              </w:rPr>
              <w:t>ПОЯСНИТЕЛЬНАЯ ЗАПИСКА</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5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КОДЫ</w:t>
            </w: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Форма по ОКУД</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0503160</w:t>
            </w:r>
          </w:p>
        </w:tc>
      </w:tr>
      <w:tr w:rsidR="00580B11" w:rsidRPr="00580B11" w:rsidTr="00580B11">
        <w:trPr>
          <w:trHeight w:val="282"/>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на   1 января 2024 г.</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Дата</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01.01.2024</w:t>
            </w:r>
          </w:p>
        </w:tc>
      </w:tr>
      <w:tr w:rsidR="00580B11" w:rsidRPr="00580B11" w:rsidTr="00580B11">
        <w:trPr>
          <w:trHeight w:val="30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Главный распорядитель, распорядитель,</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Код субъекта бюджетной отчетности</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получатель бюджетных средств, главный администратор,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администратор доходов бюджета,</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 ОКПО</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195" w:lineRule="atLeast"/>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61891527</w:t>
            </w: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главный администратор, администратор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администратор источников финансирования</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c>
          <w:tcPr>
            <w:tcW w:w="0" w:type="auto"/>
            <w:gridSpan w:val="2"/>
            <w:tcBorders>
              <w:top w:val="nil"/>
              <w:left w:val="nil"/>
              <w:bottom w:val="nil"/>
              <w:right w:val="nil"/>
            </w:tcBorders>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дефицита бюджета </w:t>
            </w:r>
            <w:r w:rsidRPr="00580B11">
              <w:rPr>
                <w:rFonts w:ascii="Times New Roman" w:eastAsia="Times New Roman" w:hAnsi="Times New Roman" w:cs="Times New Roman"/>
                <w:sz w:val="18"/>
                <w:szCs w:val="18"/>
                <w:u w:val="single"/>
                <w:lang w:eastAsia="ru-RU"/>
              </w:rPr>
              <w:t>ФИНАНСОВОЕ УПРАВЛЕНИЕ АДМИНИСТРАЦИИ КРАСНОГОРОДСКОГО РАЙОНА</w:t>
            </w:r>
            <w:r w:rsidRPr="00580B11">
              <w:rPr>
                <w:rFonts w:ascii="Times New Roman" w:eastAsia="Times New Roman" w:hAnsi="Times New Roman" w:cs="Times New Roman"/>
                <w:sz w:val="18"/>
                <w:szCs w:val="18"/>
                <w:lang w:eastAsia="ru-RU"/>
              </w:rPr>
              <w:t>         </w:t>
            </w:r>
          </w:p>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24"/>
                <w:szCs w:val="24"/>
                <w:lang w:eastAsia="ru-RU"/>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Глава по БК</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872</w:t>
            </w:r>
          </w:p>
        </w:tc>
      </w:tr>
      <w:tr w:rsidR="00580B11" w:rsidRPr="00580B11" w:rsidTr="00580B11">
        <w:trPr>
          <w:trHeight w:val="28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Наименование бюджета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10"/>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line="240" w:lineRule="auto"/>
              <w:rPr>
                <w:rFonts w:ascii="Times New Roman" w:eastAsia="Times New Roman" w:hAnsi="Times New Roman" w:cs="Times New Roman"/>
                <w:sz w:val="18"/>
                <w:szCs w:val="18"/>
                <w:u w:val="single"/>
                <w:lang w:eastAsia="ru-RU"/>
              </w:rPr>
            </w:pPr>
            <w:r w:rsidRPr="00580B11">
              <w:rPr>
                <w:rFonts w:ascii="Times New Roman" w:eastAsia="Times New Roman" w:hAnsi="Times New Roman" w:cs="Times New Roman"/>
                <w:sz w:val="18"/>
                <w:szCs w:val="18"/>
                <w:lang w:eastAsia="ru-RU"/>
              </w:rPr>
              <w:t xml:space="preserve">(публично-правового образования) </w:t>
            </w:r>
            <w:r w:rsidR="00392FE1">
              <w:rPr>
                <w:rFonts w:ascii="Times New Roman" w:eastAsia="Times New Roman" w:hAnsi="Times New Roman" w:cs="Times New Roman"/>
                <w:sz w:val="18"/>
                <w:szCs w:val="18"/>
                <w:u w:val="single"/>
                <w:lang w:eastAsia="ru-RU"/>
              </w:rPr>
              <w:t xml:space="preserve">муниципальное образование </w:t>
            </w:r>
          </w:p>
          <w:p w:rsidR="00392FE1" w:rsidRPr="00580B11" w:rsidRDefault="00392FE1" w:rsidP="00580B11">
            <w:pPr>
              <w:spacing w:after="0" w:line="240" w:lineRule="auto"/>
              <w:rPr>
                <w:rFonts w:ascii="Times New Roman" w:eastAsia="Times New Roman" w:hAnsi="Times New Roman" w:cs="Times New Roman"/>
                <w:sz w:val="24"/>
                <w:lang w:eastAsia="ru-RU"/>
              </w:rPr>
            </w:pPr>
            <w:r>
              <w:rPr>
                <w:rFonts w:ascii="Times New Roman" w:eastAsia="Times New Roman" w:hAnsi="Times New Roman" w:cs="Times New Roman"/>
                <w:sz w:val="18"/>
                <w:szCs w:val="18"/>
                <w:u w:val="single"/>
                <w:lang w:eastAsia="ru-RU"/>
              </w:rPr>
              <w:t>«</w:t>
            </w:r>
            <w:proofErr w:type="spellStart"/>
            <w:r>
              <w:rPr>
                <w:rFonts w:ascii="Times New Roman" w:eastAsia="Times New Roman" w:hAnsi="Times New Roman" w:cs="Times New Roman"/>
                <w:sz w:val="18"/>
                <w:szCs w:val="18"/>
                <w:u w:val="single"/>
                <w:lang w:eastAsia="ru-RU"/>
              </w:rPr>
              <w:t>Красногородский</w:t>
            </w:r>
            <w:proofErr w:type="spellEnd"/>
            <w:r>
              <w:rPr>
                <w:rFonts w:ascii="Times New Roman" w:eastAsia="Times New Roman" w:hAnsi="Times New Roman" w:cs="Times New Roman"/>
                <w:sz w:val="18"/>
                <w:szCs w:val="18"/>
                <w:u w:val="single"/>
                <w:lang w:eastAsia="ru-RU"/>
              </w:rPr>
              <w:t xml:space="preserve"> район»</w:t>
            </w:r>
          </w:p>
          <w:p w:rsidR="00580B11" w:rsidRPr="00580B11" w:rsidRDefault="00580B11" w:rsidP="00580B11">
            <w:pPr>
              <w:spacing w:after="0" w:line="210"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   </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10" w:lineRule="atLeast"/>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 ОКТМО</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10" w:lineRule="atLeast"/>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5"/>
                <w:szCs w:val="15"/>
                <w:lang w:eastAsia="ru-RU"/>
              </w:rPr>
              <w:t>58514000</w:t>
            </w:r>
          </w:p>
        </w:tc>
      </w:tr>
      <w:tr w:rsidR="00580B11" w:rsidRPr="00580B11" w:rsidTr="00580B11">
        <w:trPr>
          <w:trHeight w:val="31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Периодичность:    месячная, квартальная, годовая</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Единица измерения: руб.</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before="100" w:beforeAutospacing="1" w:after="100" w:afterAutospacing="1"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по ОКЕИ</w:t>
            </w:r>
          </w:p>
        </w:tc>
        <w:tc>
          <w:tcPr>
            <w:tcW w:w="17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383</w:t>
            </w: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bl>
    <w:p w:rsidR="00580B11" w:rsidRDefault="00580B11" w:rsidP="00BB27C5">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580B11" w:rsidRDefault="00580B11" w:rsidP="00BB27C5">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roofErr w:type="gramStart"/>
      <w:r w:rsidRPr="00BB27C5">
        <w:rPr>
          <w:rFonts w:ascii="Times New Roman" w:eastAsia="Times New Roman" w:hAnsi="Times New Roman" w:cs="Times New Roman"/>
          <w:color w:val="000000"/>
          <w:sz w:val="24"/>
          <w:szCs w:val="24"/>
          <w:lang w:eastAsia="ru-RU"/>
        </w:rPr>
        <w:t>Показатели бюджетной отчетности за 2023 год сформированы в соответствии с требованиями Инструкции о порядке составления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(с учетом изменений),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w:t>
      </w:r>
      <w:proofErr w:type="gramEnd"/>
      <w:r w:rsidRPr="00BB27C5">
        <w:rPr>
          <w:rFonts w:ascii="Times New Roman" w:eastAsia="Times New Roman" w:hAnsi="Times New Roman" w:cs="Times New Roman"/>
          <w:color w:val="000000"/>
          <w:sz w:val="24"/>
          <w:szCs w:val="24"/>
          <w:lang w:eastAsia="ru-RU"/>
        </w:rPr>
        <w:t xml:space="preserve"> Федерации от 25.03.2011 года № 33н (с учетом изменений и дополнений).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Сроки представления годовой отчетности за 2023 год утверждены приказом Комитета по финансам Псковской области от 26.12.2023 года № ФН/11-4265.</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 xml:space="preserve">Сроки предоставления годовой отчетности учреждениями Красногородского </w:t>
      </w:r>
      <w:r w:rsidR="00070904">
        <w:rPr>
          <w:rFonts w:ascii="Times New Roman" w:eastAsia="Times New Roman" w:hAnsi="Times New Roman" w:cs="Times New Roman"/>
          <w:color w:val="000000"/>
          <w:sz w:val="24"/>
          <w:szCs w:val="24"/>
          <w:lang w:eastAsia="ru-RU"/>
        </w:rPr>
        <w:t>муниципального округа</w:t>
      </w:r>
      <w:r w:rsidRPr="00BB27C5">
        <w:rPr>
          <w:rFonts w:ascii="Times New Roman" w:eastAsia="Times New Roman" w:hAnsi="Times New Roman" w:cs="Times New Roman"/>
          <w:color w:val="000000"/>
          <w:sz w:val="24"/>
          <w:szCs w:val="24"/>
          <w:lang w:eastAsia="ru-RU"/>
        </w:rPr>
        <w:t xml:space="preserve"> установлены приказом Финансового управления Администрации Красногородского </w:t>
      </w:r>
      <w:r w:rsidR="006664A0">
        <w:rPr>
          <w:rFonts w:ascii="Times New Roman" w:eastAsia="Times New Roman" w:hAnsi="Times New Roman" w:cs="Times New Roman"/>
          <w:color w:val="000000"/>
          <w:sz w:val="24"/>
          <w:szCs w:val="24"/>
          <w:lang w:eastAsia="ru-RU"/>
        </w:rPr>
        <w:t>муниципального округа</w:t>
      </w:r>
      <w:r w:rsidRPr="00BB27C5">
        <w:rPr>
          <w:rFonts w:ascii="Times New Roman" w:eastAsia="Times New Roman" w:hAnsi="Times New Roman" w:cs="Times New Roman"/>
          <w:color w:val="000000"/>
          <w:sz w:val="24"/>
          <w:szCs w:val="24"/>
          <w:lang w:eastAsia="ru-RU"/>
        </w:rPr>
        <w:t xml:space="preserve"> от 27.12</w:t>
      </w:r>
      <w:bookmarkStart w:id="0" w:name="_GoBack"/>
      <w:bookmarkEnd w:id="0"/>
      <w:r w:rsidRPr="00BB27C5">
        <w:rPr>
          <w:rFonts w:ascii="Times New Roman" w:eastAsia="Times New Roman" w:hAnsi="Times New Roman" w:cs="Times New Roman"/>
          <w:color w:val="000000"/>
          <w:sz w:val="24"/>
          <w:szCs w:val="24"/>
          <w:lang w:eastAsia="ru-RU"/>
        </w:rPr>
        <w:t>.2023 года № 55.</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Бюджет Красногородского муниципального района на 2023 год и плановый период 202</w:t>
      </w:r>
      <w:r w:rsidR="008B68FA">
        <w:rPr>
          <w:rFonts w:ascii="Times New Roman" w:eastAsia="Times New Roman" w:hAnsi="Times New Roman" w:cs="Times New Roman"/>
          <w:color w:val="000000"/>
          <w:sz w:val="24"/>
          <w:szCs w:val="24"/>
          <w:lang w:eastAsia="ru-RU"/>
        </w:rPr>
        <w:t>4</w:t>
      </w:r>
      <w:r w:rsidRPr="00BB27C5">
        <w:rPr>
          <w:rFonts w:ascii="Times New Roman" w:eastAsia="Times New Roman" w:hAnsi="Times New Roman" w:cs="Times New Roman"/>
          <w:color w:val="000000"/>
          <w:sz w:val="24"/>
          <w:szCs w:val="24"/>
          <w:lang w:eastAsia="ru-RU"/>
        </w:rPr>
        <w:t xml:space="preserve">-2025 годов утвержден Решением Собрания депутатов № 25 от 28 декабря 2022 года.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Первоначально бюджет на 2023 год был принят со следующими основными характеристиками: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общий объем доходов в сумме 146090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общий объем расходов в сумме 147016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Исполнение бюджета было запланировано с дефицитом в размере 926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За 2023 год финансовым управлением подготовлено </w:t>
      </w:r>
      <w:r w:rsidR="00DF6601">
        <w:rPr>
          <w:rFonts w:ascii="Times New Roman" w:eastAsia="Times New Roman" w:hAnsi="Times New Roman" w:cs="Times New Roman"/>
          <w:color w:val="000000"/>
          <w:sz w:val="24"/>
          <w:szCs w:val="24"/>
          <w:lang w:eastAsia="ru-RU"/>
        </w:rPr>
        <w:t>5</w:t>
      </w:r>
      <w:r w:rsidRPr="00BB27C5">
        <w:rPr>
          <w:rFonts w:ascii="Times New Roman" w:eastAsia="Times New Roman" w:hAnsi="Times New Roman" w:cs="Times New Roman"/>
          <w:color w:val="000000"/>
          <w:sz w:val="24"/>
          <w:szCs w:val="24"/>
          <w:lang w:eastAsia="ru-RU"/>
        </w:rPr>
        <w:t xml:space="preserve"> проектов о внесении изменений в бюджет МО «</w:t>
      </w:r>
      <w:proofErr w:type="spellStart"/>
      <w:r w:rsidRPr="00BB27C5">
        <w:rPr>
          <w:rFonts w:ascii="Times New Roman" w:eastAsia="Times New Roman" w:hAnsi="Times New Roman" w:cs="Times New Roman"/>
          <w:color w:val="000000"/>
          <w:sz w:val="24"/>
          <w:szCs w:val="24"/>
          <w:lang w:eastAsia="ru-RU"/>
        </w:rPr>
        <w:t>Красногородский</w:t>
      </w:r>
      <w:proofErr w:type="spellEnd"/>
      <w:r w:rsidRPr="00BB27C5">
        <w:rPr>
          <w:rFonts w:ascii="Times New Roman" w:eastAsia="Times New Roman" w:hAnsi="Times New Roman" w:cs="Times New Roman"/>
          <w:color w:val="000000"/>
          <w:sz w:val="24"/>
          <w:szCs w:val="24"/>
          <w:lang w:eastAsia="ru-RU"/>
        </w:rPr>
        <w:t xml:space="preserve"> район».</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Уточненные основные характеристики бюджета на 2023 год имеют следующие значения:</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общий объем доходов в сумме </w:t>
      </w:r>
      <w:r w:rsidRPr="00BB27C5">
        <w:rPr>
          <w:rFonts w:ascii="Calibri" w:eastAsia="Times New Roman" w:hAnsi="Calibri" w:cs="Calibri"/>
          <w:color w:val="000000"/>
          <w:sz w:val="24"/>
          <w:szCs w:val="24"/>
          <w:lang w:eastAsia="ru-RU"/>
        </w:rPr>
        <w:t>174380,9</w:t>
      </w:r>
      <w:r w:rsidRPr="00BB27C5">
        <w:rPr>
          <w:rFonts w:ascii="Times New Roman" w:eastAsia="Times New Roman" w:hAnsi="Times New Roman" w:cs="Times New Roman"/>
          <w:color w:val="000000"/>
          <w:sz w:val="24"/>
          <w:szCs w:val="24"/>
          <w:lang w:eastAsia="ru-RU"/>
        </w:rPr>
        <w:t xml:space="preserve">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общий объем расходов в сумме </w:t>
      </w:r>
      <w:r w:rsidRPr="00BB27C5">
        <w:rPr>
          <w:rFonts w:ascii="Calibri" w:eastAsia="Times New Roman" w:hAnsi="Calibri" w:cs="Calibri"/>
          <w:color w:val="000000"/>
          <w:sz w:val="24"/>
          <w:szCs w:val="24"/>
          <w:lang w:eastAsia="ru-RU"/>
        </w:rPr>
        <w:t xml:space="preserve">176326,9 </w:t>
      </w:r>
      <w:r w:rsidRPr="00BB27C5">
        <w:rPr>
          <w:rFonts w:ascii="Times New Roman" w:eastAsia="Times New Roman" w:hAnsi="Times New Roman" w:cs="Times New Roman"/>
          <w:color w:val="000000"/>
          <w:sz w:val="24"/>
          <w:szCs w:val="24"/>
          <w:lang w:eastAsia="ru-RU"/>
        </w:rPr>
        <w:t>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дефицит бюджета в сумме 1946 тыс. рублей.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lastRenderedPageBreak/>
        <w:t>В результате внесенных изменений и дополнений в бюджет МО «</w:t>
      </w:r>
      <w:proofErr w:type="spellStart"/>
      <w:r w:rsidRPr="00BB27C5">
        <w:rPr>
          <w:rFonts w:ascii="Times New Roman" w:eastAsia="Times New Roman" w:hAnsi="Times New Roman" w:cs="Times New Roman"/>
          <w:color w:val="000000"/>
          <w:sz w:val="24"/>
          <w:szCs w:val="24"/>
          <w:lang w:eastAsia="ru-RU"/>
        </w:rPr>
        <w:t>Красногородский</w:t>
      </w:r>
      <w:proofErr w:type="spellEnd"/>
      <w:r w:rsidRPr="00BB27C5">
        <w:rPr>
          <w:rFonts w:ascii="Times New Roman" w:eastAsia="Times New Roman" w:hAnsi="Times New Roman" w:cs="Times New Roman"/>
          <w:color w:val="000000"/>
          <w:sz w:val="24"/>
          <w:szCs w:val="24"/>
          <w:lang w:eastAsia="ru-RU"/>
        </w:rPr>
        <w:t xml:space="preserve"> район» доходная часть бюджета по сравнению с первоначальными значениями увеличилась на 28290,9 тыс. рублей, расходная часть бюджета по сравнению с первоначальными значениями увеличилась на 2910,9 тыс. рублей.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bl>
      <w:tblPr>
        <w:tblW w:w="9960" w:type="dxa"/>
        <w:jc w:val="center"/>
        <w:tblCellMar>
          <w:left w:w="0" w:type="dxa"/>
          <w:right w:w="0" w:type="dxa"/>
        </w:tblCellMar>
        <w:tblLook w:val="0000"/>
      </w:tblPr>
      <w:tblGrid>
        <w:gridCol w:w="4175"/>
        <w:gridCol w:w="1344"/>
        <w:gridCol w:w="1417"/>
        <w:gridCol w:w="1418"/>
        <w:gridCol w:w="1606"/>
      </w:tblGrid>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Наименование показателя</w:t>
            </w:r>
          </w:p>
        </w:tc>
        <w:tc>
          <w:tcPr>
            <w:tcW w:w="578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2023 год</w:t>
            </w:r>
          </w:p>
        </w:tc>
      </w:tr>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уточненный план</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исполнено</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исполнения плана</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proofErr w:type="spellStart"/>
            <w:r w:rsidRPr="00BB27C5">
              <w:rPr>
                <w:rFonts w:ascii="Times New Roman" w:eastAsia="Times New Roman" w:hAnsi="Times New Roman" w:cs="Times New Roman"/>
                <w:color w:val="000000"/>
                <w:sz w:val="20"/>
                <w:szCs w:val="24"/>
                <w:lang w:eastAsia="ru-RU"/>
              </w:rPr>
              <w:t>Уд</w:t>
            </w:r>
            <w:proofErr w:type="gramStart"/>
            <w:r w:rsidRPr="00BB27C5">
              <w:rPr>
                <w:rFonts w:ascii="Times New Roman" w:eastAsia="Times New Roman" w:hAnsi="Times New Roman" w:cs="Times New Roman"/>
                <w:color w:val="000000"/>
                <w:sz w:val="20"/>
                <w:szCs w:val="24"/>
                <w:lang w:eastAsia="ru-RU"/>
              </w:rPr>
              <w:t>.в</w:t>
            </w:r>
            <w:proofErr w:type="gramEnd"/>
            <w:r w:rsidRPr="00BB27C5">
              <w:rPr>
                <w:rFonts w:ascii="Times New Roman" w:eastAsia="Times New Roman" w:hAnsi="Times New Roman" w:cs="Times New Roman"/>
                <w:color w:val="000000"/>
                <w:sz w:val="20"/>
                <w:szCs w:val="24"/>
                <w:lang w:eastAsia="ru-RU"/>
              </w:rPr>
              <w:t>ес</w:t>
            </w:r>
            <w:proofErr w:type="spellEnd"/>
            <w:r w:rsidRPr="00BB27C5">
              <w:rPr>
                <w:rFonts w:ascii="Times New Roman" w:eastAsia="Times New Roman" w:hAnsi="Times New Roman" w:cs="Times New Roman"/>
                <w:color w:val="000000"/>
                <w:sz w:val="20"/>
                <w:szCs w:val="24"/>
                <w:lang w:eastAsia="ru-RU"/>
              </w:rPr>
              <w:t xml:space="preserve"> в общем объеме доходов (%)</w:t>
            </w:r>
          </w:p>
        </w:tc>
      </w:tr>
      <w:tr w:rsidR="00BB27C5" w:rsidRPr="00BB27C5" w:rsidTr="00BB27C5">
        <w:trPr>
          <w:trHeight w:val="367"/>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Общий объем доходов, тыс</w:t>
            </w:r>
            <w:proofErr w:type="gramStart"/>
            <w:r w:rsidRPr="00BB27C5">
              <w:rPr>
                <w:rFonts w:ascii="Times New Roman" w:eastAsia="Times New Roman" w:hAnsi="Times New Roman" w:cs="Times New Roman"/>
                <w:b/>
                <w:color w:val="000000"/>
                <w:sz w:val="20"/>
                <w:szCs w:val="24"/>
                <w:lang w:eastAsia="ru-RU"/>
              </w:rPr>
              <w:t>.р</w:t>
            </w:r>
            <w:proofErr w:type="gramEnd"/>
            <w:r w:rsidRPr="00BB27C5">
              <w:rPr>
                <w:rFonts w:ascii="Times New Roman" w:eastAsia="Times New Roman" w:hAnsi="Times New Roman" w:cs="Times New Roman"/>
                <w:b/>
                <w:color w:val="000000"/>
                <w:sz w:val="20"/>
                <w:szCs w:val="24"/>
                <w:lang w:eastAsia="ru-RU"/>
              </w:rPr>
              <w:t>уб., в т.ч.</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174381,2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163765,8</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93,9</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 </w:t>
            </w:r>
          </w:p>
        </w:tc>
      </w:tr>
      <w:tr w:rsidR="00BB27C5" w:rsidRPr="00BB27C5" w:rsidTr="00BB27C5">
        <w:trPr>
          <w:trHeight w:val="415"/>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Общий объем налоговых и неналоговых доходов, тыс</w:t>
            </w:r>
            <w:proofErr w:type="gramStart"/>
            <w:r w:rsidRPr="00BB27C5">
              <w:rPr>
                <w:rFonts w:ascii="Times New Roman" w:eastAsia="Times New Roman" w:hAnsi="Times New Roman" w:cs="Times New Roman"/>
                <w:color w:val="000000"/>
                <w:sz w:val="20"/>
                <w:szCs w:val="24"/>
                <w:lang w:eastAsia="ru-RU"/>
              </w:rPr>
              <w:t>.р</w:t>
            </w:r>
            <w:proofErr w:type="gramEnd"/>
            <w:r w:rsidRPr="00BB27C5">
              <w:rPr>
                <w:rFonts w:ascii="Times New Roman" w:eastAsia="Times New Roman" w:hAnsi="Times New Roman" w:cs="Times New Roman"/>
                <w:color w:val="000000"/>
                <w:sz w:val="20"/>
                <w:szCs w:val="24"/>
                <w:lang w:eastAsia="ru-RU"/>
              </w:rPr>
              <w:t>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40570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ind w:right="40"/>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49864,6</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122,9</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30,4</w:t>
            </w:r>
          </w:p>
        </w:tc>
      </w:tr>
      <w:tr w:rsidR="00BB27C5" w:rsidRPr="00BB27C5" w:rsidTr="00BB27C5">
        <w:trPr>
          <w:trHeight w:val="520"/>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Общий объем безвозмездных поступлений, тыс</w:t>
            </w:r>
            <w:proofErr w:type="gramStart"/>
            <w:r w:rsidRPr="00BB27C5">
              <w:rPr>
                <w:rFonts w:ascii="Times New Roman" w:eastAsia="Times New Roman" w:hAnsi="Times New Roman" w:cs="Times New Roman"/>
                <w:color w:val="000000"/>
                <w:sz w:val="20"/>
                <w:szCs w:val="24"/>
                <w:lang w:eastAsia="ru-RU"/>
              </w:rPr>
              <w:t>.р</w:t>
            </w:r>
            <w:proofErr w:type="gramEnd"/>
            <w:r w:rsidRPr="00BB27C5">
              <w:rPr>
                <w:rFonts w:ascii="Times New Roman" w:eastAsia="Times New Roman" w:hAnsi="Times New Roman" w:cs="Times New Roman"/>
                <w:color w:val="000000"/>
                <w:sz w:val="20"/>
                <w:szCs w:val="24"/>
                <w:lang w:eastAsia="ru-RU"/>
              </w:rPr>
              <w:t>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133811,2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113901,1</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85,1</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69,6</w:t>
            </w:r>
          </w:p>
        </w:tc>
      </w:tr>
      <w:tr w:rsidR="00BB27C5" w:rsidRPr="00BB27C5" w:rsidTr="00BB27C5">
        <w:trPr>
          <w:trHeight w:val="272"/>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Общий объем расходов, тыс</w:t>
            </w:r>
            <w:proofErr w:type="gramStart"/>
            <w:r w:rsidRPr="00BB27C5">
              <w:rPr>
                <w:rFonts w:ascii="Times New Roman" w:eastAsia="Times New Roman" w:hAnsi="Times New Roman" w:cs="Times New Roman"/>
                <w:b/>
                <w:color w:val="000000"/>
                <w:sz w:val="20"/>
                <w:szCs w:val="24"/>
                <w:lang w:eastAsia="ru-RU"/>
              </w:rPr>
              <w:t>.р</w:t>
            </w:r>
            <w:proofErr w:type="gramEnd"/>
            <w:r w:rsidRPr="00BB27C5">
              <w:rPr>
                <w:rFonts w:ascii="Times New Roman" w:eastAsia="Times New Roman" w:hAnsi="Times New Roman" w:cs="Times New Roman"/>
                <w:b/>
                <w:color w:val="000000"/>
                <w:sz w:val="20"/>
                <w:szCs w:val="24"/>
                <w:lang w:eastAsia="ru-RU"/>
              </w:rPr>
              <w:t>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176327,2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160446,2</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91</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 </w:t>
            </w:r>
          </w:p>
        </w:tc>
      </w:tr>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xml:space="preserve">Д Е Ф И </w:t>
            </w:r>
            <w:proofErr w:type="gramStart"/>
            <w:r w:rsidRPr="00BB27C5">
              <w:rPr>
                <w:rFonts w:ascii="Times New Roman" w:eastAsia="Times New Roman" w:hAnsi="Times New Roman" w:cs="Times New Roman"/>
                <w:color w:val="000000"/>
                <w:sz w:val="20"/>
                <w:szCs w:val="24"/>
                <w:lang w:eastAsia="ru-RU"/>
              </w:rPr>
              <w:t>Ц</w:t>
            </w:r>
            <w:proofErr w:type="gramEnd"/>
            <w:r w:rsidRPr="00BB27C5">
              <w:rPr>
                <w:rFonts w:ascii="Times New Roman" w:eastAsia="Times New Roman" w:hAnsi="Times New Roman" w:cs="Times New Roman"/>
                <w:color w:val="000000"/>
                <w:sz w:val="20"/>
                <w:szCs w:val="24"/>
                <w:lang w:eastAsia="ru-RU"/>
              </w:rPr>
              <w:t xml:space="preserve"> И Т(-)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roofErr w:type="gramStart"/>
            <w:r w:rsidRPr="00BB27C5">
              <w:rPr>
                <w:rFonts w:ascii="Times New Roman" w:eastAsia="Times New Roman" w:hAnsi="Times New Roman" w:cs="Times New Roman"/>
                <w:color w:val="000000"/>
                <w:sz w:val="20"/>
                <w:szCs w:val="24"/>
                <w:lang w:eastAsia="ru-RU"/>
              </w:rPr>
              <w:t>П</w:t>
            </w:r>
            <w:proofErr w:type="gramEnd"/>
            <w:r w:rsidRPr="00BB27C5">
              <w:rPr>
                <w:rFonts w:ascii="Times New Roman" w:eastAsia="Times New Roman" w:hAnsi="Times New Roman" w:cs="Times New Roman"/>
                <w:color w:val="000000"/>
                <w:sz w:val="20"/>
                <w:szCs w:val="24"/>
                <w:lang w:eastAsia="ru-RU"/>
              </w:rPr>
              <w:t xml:space="preserve"> Р О Ф И Ц И Т(+)</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-1946</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3319,6</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proofErr w:type="spellStart"/>
            <w:r w:rsidRPr="00BB27C5">
              <w:rPr>
                <w:rFonts w:ascii="Times New Roman" w:eastAsia="Times New Roman" w:hAnsi="Times New Roman" w:cs="Times New Roman"/>
                <w:color w:val="000000"/>
                <w:sz w:val="20"/>
                <w:szCs w:val="24"/>
                <w:lang w:eastAsia="ru-RU"/>
              </w:rPr>
              <w:t>х</w:t>
            </w:r>
            <w:proofErr w:type="spellEnd"/>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c>
      </w:tr>
    </w:tbl>
    <w:p w:rsidR="00BB27C5" w:rsidRPr="00BB27C5" w:rsidRDefault="00BB27C5" w:rsidP="00BB27C5">
      <w:pPr>
        <w:autoSpaceDE w:val="0"/>
        <w:autoSpaceDN w:val="0"/>
        <w:adjustRightInd w:val="0"/>
        <w:spacing w:after="0" w:line="240" w:lineRule="auto"/>
        <w:ind w:firstLine="36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4"/>
          <w:szCs w:val="24"/>
          <w:lang w:eastAsia="ru-RU"/>
        </w:rPr>
        <w:t> </w:t>
      </w:r>
    </w:p>
    <w:p w:rsidR="00BB27C5" w:rsidRPr="00BB27C5" w:rsidRDefault="00BB27C5" w:rsidP="00BB27C5">
      <w:pPr>
        <w:autoSpaceDE w:val="0"/>
        <w:autoSpaceDN w:val="0"/>
        <w:adjustRightInd w:val="0"/>
        <w:spacing w:after="0" w:line="240" w:lineRule="auto"/>
        <w:ind w:firstLine="360"/>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w:t>
      </w:r>
    </w:p>
    <w:p w:rsidR="00BB27C5" w:rsidRPr="00BB27C5" w:rsidRDefault="00BB27C5" w:rsidP="00BB27C5">
      <w:pPr>
        <w:autoSpaceDE w:val="0"/>
        <w:autoSpaceDN w:val="0"/>
        <w:adjustRightInd w:val="0"/>
        <w:spacing w:after="0" w:line="240" w:lineRule="auto"/>
        <w:ind w:firstLine="360"/>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4"/>
          <w:szCs w:val="24"/>
          <w:lang w:eastAsia="ru-RU"/>
        </w:rPr>
        <w:t>Доходы</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Доходы бюджета Красногородского района сформированы из налоговых и неналоговых доходов, безвозмездных поступлений из областного бюджета в виде дотаций, субсидий, субвенций и иных межбюджетных трансфертов.</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Доходная часть бюджета муниципального образования «</w:t>
      </w:r>
      <w:proofErr w:type="spellStart"/>
      <w:r w:rsidRPr="00BB27C5">
        <w:rPr>
          <w:rFonts w:ascii="Times New Roman" w:eastAsia="Times New Roman" w:hAnsi="Times New Roman" w:cs="Times New Roman"/>
          <w:color w:val="000000"/>
          <w:sz w:val="24"/>
          <w:szCs w:val="24"/>
          <w:lang w:eastAsia="ru-RU"/>
        </w:rPr>
        <w:t>Красногородский</w:t>
      </w:r>
      <w:proofErr w:type="spellEnd"/>
      <w:r w:rsidRPr="00BB27C5">
        <w:rPr>
          <w:rFonts w:ascii="Times New Roman" w:eastAsia="Times New Roman" w:hAnsi="Times New Roman" w:cs="Times New Roman"/>
          <w:color w:val="000000"/>
          <w:sz w:val="24"/>
          <w:szCs w:val="24"/>
          <w:lang w:eastAsia="ru-RU"/>
        </w:rPr>
        <w:t xml:space="preserve"> район» за 2023 год исполнена на 93,9 %. При плане 174381,2 тыс. рублей за отчетный год доходов поступило в сумме 163765,8 тыс. рублей.   </w:t>
      </w:r>
    </w:p>
    <w:p w:rsidR="00BB27C5" w:rsidRPr="00BB27C5" w:rsidRDefault="00BB27C5" w:rsidP="00BB27C5">
      <w:pPr>
        <w:autoSpaceDE w:val="0"/>
        <w:autoSpaceDN w:val="0"/>
        <w:adjustRightInd w:val="0"/>
        <w:spacing w:after="0" w:line="240" w:lineRule="auto"/>
        <w:ind w:firstLine="28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В структуре общего объема доходов, доля налоговых и неналоговых доходов бюджета в 2023 году составила 30,4 процента, безвозмездные поступления составили </w:t>
      </w:r>
      <w:r w:rsidR="00F31ECF">
        <w:rPr>
          <w:rFonts w:ascii="Times New Roman" w:eastAsia="Times New Roman" w:hAnsi="Times New Roman" w:cs="Times New Roman"/>
          <w:color w:val="000000"/>
          <w:sz w:val="24"/>
          <w:szCs w:val="24"/>
          <w:lang w:eastAsia="ru-RU"/>
        </w:rPr>
        <w:t>69</w:t>
      </w:r>
      <w:r w:rsidRPr="00BB27C5">
        <w:rPr>
          <w:rFonts w:ascii="Times New Roman" w:eastAsia="Times New Roman" w:hAnsi="Times New Roman" w:cs="Times New Roman"/>
          <w:color w:val="000000"/>
          <w:sz w:val="24"/>
          <w:szCs w:val="24"/>
          <w:lang w:eastAsia="ru-RU"/>
        </w:rPr>
        <w:t>,</w:t>
      </w:r>
      <w:r w:rsidR="00C21F56">
        <w:rPr>
          <w:rFonts w:ascii="Times New Roman" w:eastAsia="Times New Roman" w:hAnsi="Times New Roman" w:cs="Times New Roman"/>
          <w:color w:val="000000"/>
          <w:sz w:val="24"/>
          <w:szCs w:val="24"/>
          <w:lang w:eastAsia="ru-RU"/>
        </w:rPr>
        <w:t>5</w:t>
      </w:r>
      <w:r w:rsidRPr="00BB27C5">
        <w:rPr>
          <w:rFonts w:ascii="Times New Roman" w:eastAsia="Times New Roman" w:hAnsi="Times New Roman" w:cs="Times New Roman"/>
          <w:color w:val="000000"/>
          <w:sz w:val="24"/>
          <w:szCs w:val="24"/>
          <w:lang w:eastAsia="ru-RU"/>
        </w:rPr>
        <w:t xml:space="preserve">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Структура доходов муниципального образования «</w:t>
      </w:r>
      <w:proofErr w:type="spellStart"/>
      <w:r w:rsidRPr="00BB27C5">
        <w:rPr>
          <w:rFonts w:ascii="Times New Roman" w:eastAsia="Times New Roman" w:hAnsi="Times New Roman" w:cs="Times New Roman"/>
          <w:color w:val="000000"/>
          <w:sz w:val="24"/>
          <w:szCs w:val="24"/>
          <w:lang w:eastAsia="ru-RU"/>
        </w:rPr>
        <w:t>Красногородский</w:t>
      </w:r>
      <w:proofErr w:type="spellEnd"/>
      <w:r w:rsidRPr="00BB27C5">
        <w:rPr>
          <w:rFonts w:ascii="Times New Roman" w:eastAsia="Times New Roman" w:hAnsi="Times New Roman" w:cs="Times New Roman"/>
          <w:color w:val="000000"/>
          <w:sz w:val="24"/>
          <w:szCs w:val="24"/>
          <w:lang w:eastAsia="ru-RU"/>
        </w:rPr>
        <w:t xml:space="preserve"> район»</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tbl>
      <w:tblPr>
        <w:tblW w:w="8544" w:type="dxa"/>
        <w:tblInd w:w="93" w:type="dxa"/>
        <w:tblCellMar>
          <w:left w:w="0" w:type="dxa"/>
          <w:right w:w="0" w:type="dxa"/>
        </w:tblCellMar>
        <w:tblLook w:val="0000"/>
      </w:tblPr>
      <w:tblGrid>
        <w:gridCol w:w="5000"/>
        <w:gridCol w:w="1843"/>
        <w:gridCol w:w="1701"/>
      </w:tblGrid>
      <w:tr w:rsidR="00BB27C5" w:rsidRPr="00BB27C5" w:rsidTr="00BB27C5">
        <w:trPr>
          <w:trHeight w:val="300"/>
        </w:trPr>
        <w:tc>
          <w:tcPr>
            <w:tcW w:w="50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c>
        <w:tc>
          <w:tcPr>
            <w:tcW w:w="184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исполнено 2023г.</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удельный вес, %</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налог на доходы физических лиц</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27180,9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16,6</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акцизы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8570,1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5,2</w:t>
            </w:r>
          </w:p>
        </w:tc>
      </w:tr>
      <w:tr w:rsidR="00BB27C5" w:rsidRPr="00BB27C5" w:rsidTr="00BB27C5">
        <w:trPr>
          <w:trHeight w:val="54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упрощенная система налогообложения</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1775,3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1,08</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патент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90,9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0,06</w:t>
            </w:r>
          </w:p>
        </w:tc>
      </w:tr>
      <w:tr w:rsidR="00BB27C5" w:rsidRPr="00BB27C5" w:rsidTr="00BB27C5">
        <w:trPr>
          <w:trHeight w:val="22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единый налог на вмененный доход</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0,00</w:t>
            </w:r>
          </w:p>
        </w:tc>
      </w:tr>
      <w:tr w:rsidR="00BB27C5" w:rsidRPr="00BB27C5" w:rsidTr="00BB27C5">
        <w:trPr>
          <w:trHeight w:val="36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гос</w:t>
            </w:r>
            <w:r>
              <w:rPr>
                <w:rFonts w:ascii="Times New Roman" w:eastAsia="Times New Roman" w:hAnsi="Times New Roman" w:cs="Times New Roman"/>
                <w:color w:val="000000"/>
                <w:sz w:val="20"/>
                <w:szCs w:val="24"/>
                <w:lang w:eastAsia="ru-RU"/>
              </w:rPr>
              <w:t>ударственная</w:t>
            </w:r>
            <w:r w:rsidRPr="00BB27C5">
              <w:rPr>
                <w:rFonts w:ascii="Times New Roman" w:eastAsia="Times New Roman" w:hAnsi="Times New Roman" w:cs="Times New Roman"/>
                <w:color w:val="000000"/>
                <w:sz w:val="20"/>
                <w:szCs w:val="24"/>
                <w:lang w:eastAsia="ru-RU"/>
              </w:rPr>
              <w:t xml:space="preserve"> пошлина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421,6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0,26</w:t>
            </w:r>
          </w:p>
        </w:tc>
      </w:tr>
      <w:tr w:rsidR="00BB27C5" w:rsidRPr="00BB27C5" w:rsidTr="00BB27C5">
        <w:trPr>
          <w:trHeight w:val="44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единый с/</w:t>
            </w:r>
            <w:proofErr w:type="spellStart"/>
            <w:r w:rsidRPr="00BB27C5">
              <w:rPr>
                <w:rFonts w:ascii="Times New Roman" w:eastAsia="Times New Roman" w:hAnsi="Times New Roman" w:cs="Times New Roman"/>
                <w:color w:val="000000"/>
                <w:sz w:val="20"/>
                <w:szCs w:val="24"/>
                <w:lang w:eastAsia="ru-RU"/>
              </w:rPr>
              <w:t>х</w:t>
            </w:r>
            <w:proofErr w:type="spellEnd"/>
            <w:r w:rsidRPr="00BB27C5">
              <w:rPr>
                <w:rFonts w:ascii="Times New Roman" w:eastAsia="Times New Roman" w:hAnsi="Times New Roman" w:cs="Times New Roman"/>
                <w:color w:val="000000"/>
                <w:sz w:val="20"/>
                <w:szCs w:val="24"/>
                <w:lang w:eastAsia="ru-RU"/>
              </w:rPr>
              <w:t xml:space="preserve"> налог</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32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38034,6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23,22</w:t>
            </w:r>
          </w:p>
        </w:tc>
      </w:tr>
      <w:tr w:rsidR="00BB27C5" w:rsidRPr="00BB27C5" w:rsidTr="00BB27C5">
        <w:trPr>
          <w:trHeight w:val="369"/>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платежи при пользовании природными ресурсами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242,8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0,15</w:t>
            </w:r>
          </w:p>
        </w:tc>
      </w:tr>
      <w:tr w:rsidR="00BB27C5" w:rsidRPr="00BB27C5" w:rsidTr="00BB27C5">
        <w:trPr>
          <w:trHeight w:val="567"/>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оказания платных услуг и компенсации затрат государства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10134,7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6,19</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использования имущества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814,2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0,5</w:t>
            </w:r>
          </w:p>
        </w:tc>
      </w:tr>
      <w:tr w:rsidR="00BB27C5" w:rsidRPr="00BB27C5" w:rsidTr="00BB27C5">
        <w:trPr>
          <w:trHeight w:val="22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продажи материальных и нематериальных активов</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367,6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0,22</w:t>
            </w:r>
          </w:p>
        </w:tc>
      </w:tr>
      <w:tr w:rsidR="00BB27C5" w:rsidRPr="00BB27C5" w:rsidTr="00BB27C5">
        <w:trPr>
          <w:trHeight w:val="299"/>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штрафы, санкции, возмещение ущерба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271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0,17</w:t>
            </w:r>
          </w:p>
        </w:tc>
      </w:tr>
      <w:tr w:rsidR="00BB27C5" w:rsidRPr="00BB27C5" w:rsidTr="00BB27C5">
        <w:trPr>
          <w:trHeight w:val="404"/>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проч. неналоговые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254"/>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неналоговые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11830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7,22</w:t>
            </w:r>
          </w:p>
        </w:tc>
      </w:tr>
      <w:tr w:rsidR="00BB27C5" w:rsidRPr="00BB27C5" w:rsidTr="00BB27C5">
        <w:trPr>
          <w:trHeight w:val="271"/>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lastRenderedPageBreak/>
              <w:t>Собственные доходы всего:</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49864,6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30,45</w:t>
            </w:r>
          </w:p>
        </w:tc>
      </w:tr>
      <w:tr w:rsidR="00BB27C5" w:rsidRPr="00BB27C5" w:rsidTr="00BB27C5">
        <w:trPr>
          <w:trHeight w:val="353"/>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дотации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51506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31,45</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субсидии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18051,7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11,02</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субвенции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48702,6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29,74</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иные МБТ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5627,5</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3,44</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возврат субсидий прошлых лет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-9986,7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безвозмездные поступления:</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113901,1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69,55</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Всего доход</w:t>
            </w:r>
            <w:r w:rsidR="00D11CBC">
              <w:rPr>
                <w:rFonts w:ascii="Times New Roman" w:eastAsia="Times New Roman" w:hAnsi="Times New Roman" w:cs="Times New Roman"/>
                <w:b/>
                <w:color w:val="000000"/>
                <w:sz w:val="20"/>
                <w:szCs w:val="24"/>
                <w:lang w:eastAsia="ru-RU"/>
              </w:rPr>
              <w:t>ов</w:t>
            </w:r>
            <w:r w:rsidRPr="00BB27C5">
              <w:rPr>
                <w:rFonts w:ascii="Times New Roman" w:eastAsia="Times New Roman" w:hAnsi="Times New Roman" w:cs="Times New Roman"/>
                <w:b/>
                <w:color w:val="000000"/>
                <w:sz w:val="20"/>
                <w:szCs w:val="24"/>
                <w:lang w:eastAsia="ru-RU"/>
              </w:rPr>
              <w:t>:</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163765,8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100,0</w:t>
            </w:r>
          </w:p>
        </w:tc>
      </w:tr>
    </w:tbl>
    <w:p w:rsid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Times New Roman"/>
          <w:color w:val="000000"/>
          <w:sz w:val="20"/>
          <w:szCs w:val="24"/>
          <w:lang w:eastAsia="ru-RU"/>
        </w:rPr>
      </w:pPr>
    </w:p>
    <w:p w:rsid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Times New Roman"/>
          <w:color w:val="000000"/>
          <w:sz w:val="20"/>
          <w:szCs w:val="24"/>
          <w:lang w:eastAsia="ru-RU"/>
        </w:rPr>
      </w:pPr>
    </w:p>
    <w:p w:rsidR="00BB27C5" w:rsidRP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bl>
      <w:tblPr>
        <w:tblW w:w="16920" w:type="dxa"/>
        <w:tblLook w:val="0000"/>
      </w:tblPr>
      <w:tblGrid>
        <w:gridCol w:w="9932"/>
        <w:gridCol w:w="4951"/>
        <w:gridCol w:w="938"/>
        <w:gridCol w:w="1099"/>
      </w:tblGrid>
      <w:tr w:rsidR="00BB27C5" w:rsidRPr="00BB27C5" w:rsidTr="001B47C1">
        <w:trPr>
          <w:trHeight w:val="300"/>
        </w:trPr>
        <w:tc>
          <w:tcPr>
            <w:tcW w:w="9932"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Исполнение доходов к уточненному годовому плану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F26B1D"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Cs w:val="24"/>
                <w:lang w:eastAsia="ru-RU"/>
              </w:rPr>
              <w:t> </w:t>
            </w:r>
          </w:p>
          <w:tbl>
            <w:tblPr>
              <w:tblW w:w="8420" w:type="dxa"/>
              <w:tblLook w:val="04A0"/>
            </w:tblPr>
            <w:tblGrid>
              <w:gridCol w:w="5720"/>
              <w:gridCol w:w="1360"/>
              <w:gridCol w:w="1340"/>
            </w:tblGrid>
            <w:tr w:rsidR="00F26B1D" w:rsidRPr="00F26B1D" w:rsidTr="00F26B1D">
              <w:trPr>
                <w:trHeight w:val="540"/>
              </w:trPr>
              <w:tc>
                <w:tcPr>
                  <w:tcW w:w="5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F26B1D" w:rsidRPr="00F26B1D" w:rsidRDefault="00F26B1D" w:rsidP="00F26B1D">
                  <w:pPr>
                    <w:spacing w:after="0" w:line="240" w:lineRule="auto"/>
                    <w:jc w:val="center"/>
                    <w:rPr>
                      <w:rFonts w:ascii="Calibri" w:eastAsia="Times New Roman" w:hAnsi="Calibri" w:cs="Calibri"/>
                      <w:color w:val="000000"/>
                      <w:lang w:eastAsia="ru-RU"/>
                    </w:rPr>
                  </w:pPr>
                  <w:r w:rsidRPr="00F26B1D">
                    <w:rPr>
                      <w:rFonts w:ascii="Calibri" w:eastAsia="Times New Roman" w:hAnsi="Calibri" w:cs="Calibri"/>
                      <w:color w:val="000000"/>
                      <w:lang w:eastAsia="ru-RU"/>
                    </w:rPr>
                    <w:t>уточненный план 2023 года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F26B1D" w:rsidRPr="00F26B1D" w:rsidRDefault="00F26B1D" w:rsidP="00F26B1D">
                  <w:pPr>
                    <w:spacing w:after="0" w:line="240" w:lineRule="auto"/>
                    <w:jc w:val="center"/>
                    <w:rPr>
                      <w:rFonts w:ascii="Calibri" w:eastAsia="Times New Roman" w:hAnsi="Calibri" w:cs="Calibri"/>
                      <w:color w:val="000000"/>
                      <w:lang w:eastAsia="ru-RU"/>
                    </w:rPr>
                  </w:pPr>
                  <w:r w:rsidRPr="00F26B1D">
                    <w:rPr>
                      <w:rFonts w:ascii="Calibri" w:eastAsia="Times New Roman" w:hAnsi="Calibri" w:cs="Calibri"/>
                      <w:color w:val="000000"/>
                      <w:lang w:eastAsia="ru-RU"/>
                    </w:rPr>
                    <w:t>исполнено</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Налог на доходы физ. лиц</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24512</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27180,9</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Акцизы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7363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8570,1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proofErr w:type="spellStart"/>
                  <w:r w:rsidRPr="00F26B1D">
                    <w:rPr>
                      <w:rFonts w:ascii="Calibri" w:eastAsia="Times New Roman" w:hAnsi="Calibri" w:cs="Calibri"/>
                      <w:color w:val="000000"/>
                      <w:lang w:eastAsia="ru-RU"/>
                    </w:rPr>
                    <w:t>Упрощ</w:t>
                  </w:r>
                  <w:proofErr w:type="spellEnd"/>
                  <w:r w:rsidRPr="00F26B1D">
                    <w:rPr>
                      <w:rFonts w:ascii="Calibri" w:eastAsia="Times New Roman" w:hAnsi="Calibri" w:cs="Calibri"/>
                      <w:color w:val="000000"/>
                      <w:lang w:eastAsia="ru-RU"/>
                    </w:rPr>
                    <w:t xml:space="preserve">. </w:t>
                  </w:r>
                  <w:proofErr w:type="spellStart"/>
                  <w:r w:rsidRPr="00F26B1D">
                    <w:rPr>
                      <w:rFonts w:ascii="Calibri" w:eastAsia="Times New Roman" w:hAnsi="Calibri" w:cs="Calibri"/>
                      <w:color w:val="000000"/>
                      <w:lang w:eastAsia="ru-RU"/>
                    </w:rPr>
                    <w:t>сист</w:t>
                  </w:r>
                  <w:proofErr w:type="spellEnd"/>
                  <w:r w:rsidRPr="00F26B1D">
                    <w:rPr>
                      <w:rFonts w:ascii="Calibri" w:eastAsia="Times New Roman" w:hAnsi="Calibri" w:cs="Calibri"/>
                      <w:color w:val="000000"/>
                      <w:lang w:eastAsia="ru-RU"/>
                    </w:rPr>
                    <w:t>. налогообложения</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1787</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1775,3</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Налог на вмененный доход</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Патент</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135</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90,9</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Единый с/</w:t>
                  </w:r>
                  <w:proofErr w:type="spellStart"/>
                  <w:r w:rsidRPr="00F26B1D">
                    <w:rPr>
                      <w:rFonts w:ascii="Calibri" w:eastAsia="Times New Roman" w:hAnsi="Calibri" w:cs="Calibri"/>
                      <w:color w:val="000000"/>
                      <w:lang w:eastAsia="ru-RU"/>
                    </w:rPr>
                    <w:t>х</w:t>
                  </w:r>
                  <w:proofErr w:type="spellEnd"/>
                  <w:r w:rsidRPr="00F26B1D">
                    <w:rPr>
                      <w:rFonts w:ascii="Calibri" w:eastAsia="Times New Roman" w:hAnsi="Calibri" w:cs="Calibri"/>
                      <w:color w:val="000000"/>
                      <w:lang w:eastAsia="ru-RU"/>
                    </w:rPr>
                    <w:t xml:space="preserve"> налог</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6,8</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proofErr w:type="spellStart"/>
                  <w:proofErr w:type="gramStart"/>
                  <w:r w:rsidRPr="00F26B1D">
                    <w:rPr>
                      <w:rFonts w:ascii="Calibri" w:eastAsia="Times New Roman" w:hAnsi="Calibri" w:cs="Calibri"/>
                      <w:color w:val="000000"/>
                      <w:lang w:eastAsia="ru-RU"/>
                    </w:rPr>
                    <w:t>Гос</w:t>
                  </w:r>
                  <w:proofErr w:type="spellEnd"/>
                  <w:r w:rsidRPr="00F26B1D">
                    <w:rPr>
                      <w:rFonts w:ascii="Calibri" w:eastAsia="Times New Roman" w:hAnsi="Calibri" w:cs="Calibri"/>
                      <w:color w:val="000000"/>
                      <w:lang w:eastAsia="ru-RU"/>
                    </w:rPr>
                    <w:t>. пошлина</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327</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421,6</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Аренда земли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480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Аренда имущества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257,1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Доходы от уставных капиталов</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190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 xml:space="preserve">Плат. </w:t>
                  </w:r>
                  <w:proofErr w:type="spellStart"/>
                  <w:r w:rsidRPr="00F26B1D">
                    <w:rPr>
                      <w:rFonts w:ascii="Calibri" w:eastAsia="Times New Roman" w:hAnsi="Calibri" w:cs="Calibri"/>
                      <w:color w:val="000000"/>
                      <w:lang w:eastAsia="ru-RU"/>
                    </w:rPr>
                    <w:t>припользов</w:t>
                  </w:r>
                  <w:proofErr w:type="gramStart"/>
                  <w:r w:rsidRPr="00F26B1D">
                    <w:rPr>
                      <w:rFonts w:ascii="Calibri" w:eastAsia="Times New Roman" w:hAnsi="Calibri" w:cs="Calibri"/>
                      <w:color w:val="000000"/>
                      <w:lang w:eastAsia="ru-RU"/>
                    </w:rPr>
                    <w:t>.п</w:t>
                  </w:r>
                  <w:proofErr w:type="gramEnd"/>
                  <w:r w:rsidRPr="00F26B1D">
                    <w:rPr>
                      <w:rFonts w:ascii="Calibri" w:eastAsia="Times New Roman" w:hAnsi="Calibri" w:cs="Calibri"/>
                      <w:color w:val="000000"/>
                      <w:lang w:eastAsia="ru-RU"/>
                    </w:rPr>
                    <w:t>рир</w:t>
                  </w:r>
                  <w:proofErr w:type="spellEnd"/>
                  <w:r w:rsidRPr="00F26B1D">
                    <w:rPr>
                      <w:rFonts w:ascii="Calibri" w:eastAsia="Times New Roman" w:hAnsi="Calibri" w:cs="Calibri"/>
                      <w:color w:val="000000"/>
                      <w:lang w:eastAsia="ru-RU"/>
                    </w:rPr>
                    <w:t>. ресурсами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242,8</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 xml:space="preserve">Компенсации затрат и возмещение от </w:t>
                  </w:r>
                  <w:proofErr w:type="spellStart"/>
                  <w:r w:rsidRPr="00F26B1D">
                    <w:rPr>
                      <w:rFonts w:ascii="Calibri" w:eastAsia="Times New Roman" w:hAnsi="Calibri" w:cs="Calibri"/>
                      <w:color w:val="000000"/>
                      <w:lang w:eastAsia="ru-RU"/>
                    </w:rPr>
                    <w:t>эксплуат</w:t>
                  </w:r>
                  <w:proofErr w:type="gramStart"/>
                  <w:r w:rsidRPr="00F26B1D">
                    <w:rPr>
                      <w:rFonts w:ascii="Calibri" w:eastAsia="Times New Roman" w:hAnsi="Calibri" w:cs="Calibri"/>
                      <w:color w:val="000000"/>
                      <w:lang w:eastAsia="ru-RU"/>
                    </w:rPr>
                    <w:t>.и</w:t>
                  </w:r>
                  <w:proofErr w:type="gramEnd"/>
                  <w:r w:rsidRPr="00F26B1D">
                    <w:rPr>
                      <w:rFonts w:ascii="Calibri" w:eastAsia="Times New Roman" w:hAnsi="Calibri" w:cs="Calibri"/>
                      <w:color w:val="000000"/>
                      <w:lang w:eastAsia="ru-RU"/>
                    </w:rPr>
                    <w:t>мущества</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10134,7</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Продажа имущества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5470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11,2</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Продажа земли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356,4</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Штрафы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 xml:space="preserve">Проч. </w:t>
                  </w:r>
                  <w:proofErr w:type="spellStart"/>
                  <w:r w:rsidRPr="00F26B1D">
                    <w:rPr>
                      <w:rFonts w:ascii="Calibri" w:eastAsia="Times New Roman" w:hAnsi="Calibri" w:cs="Calibri"/>
                      <w:color w:val="000000"/>
                      <w:lang w:eastAsia="ru-RU"/>
                    </w:rPr>
                    <w:t>неналог</w:t>
                  </w:r>
                  <w:proofErr w:type="spellEnd"/>
                  <w:r w:rsidRPr="00F26B1D">
                    <w:rPr>
                      <w:rFonts w:ascii="Calibri" w:eastAsia="Times New Roman" w:hAnsi="Calibri" w:cs="Calibri"/>
                      <w:color w:val="000000"/>
                      <w:lang w:eastAsia="ru-RU"/>
                    </w:rPr>
                    <w:t>. доходы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-0,3</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ВСЕГО</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40570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49864,6</w:t>
                  </w:r>
                </w:p>
              </w:tc>
            </w:tr>
          </w:tbl>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BB27C5" w:rsidRPr="00BB27C5" w:rsidRDefault="00BB27C5"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sidRPr="00BB27C5">
              <w:rPr>
                <w:rFonts w:ascii="Times New Roman" w:eastAsia="Times New Roman" w:hAnsi="Times New Roman" w:cs="Times New Roman"/>
                <w:color w:val="000000"/>
                <w:szCs w:val="24"/>
                <w:lang w:eastAsia="ru-RU"/>
              </w:rPr>
              <w:t> </w:t>
            </w:r>
          </w:p>
          <w:p w:rsidR="00BB27C5" w:rsidRPr="00BB27C5" w:rsidRDefault="00BE6396"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r>
              <w:rPr>
                <w:noProof/>
                <w:lang w:eastAsia="ru-RU"/>
              </w:rPr>
              <w:lastRenderedPageBreak/>
              <w:drawing>
                <wp:inline distT="0" distB="0" distL="0" distR="0">
                  <wp:extent cx="5940425" cy="6115050"/>
                  <wp:effectExtent l="0" t="0" r="317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26B1D" w:rsidRDefault="00F26B1D"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r>
              <w:rPr>
                <w:rFonts w:ascii="Times New Roman" w:eastAsia="Times New Roman" w:hAnsi="Times New Roman" w:cs="Times New Roman"/>
                <w:color w:val="000000"/>
                <w:szCs w:val="24"/>
                <w:lang w:eastAsia="ru-RU"/>
              </w:rPr>
              <w:t>Исполнение доходов к 2022 году</w:t>
            </w:r>
          </w:p>
          <w:p w:rsidR="001B47C1" w:rsidRDefault="001B47C1"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tbl>
            <w:tblPr>
              <w:tblW w:w="8400" w:type="dxa"/>
              <w:tblLook w:val="04A0"/>
            </w:tblPr>
            <w:tblGrid>
              <w:gridCol w:w="5260"/>
              <w:gridCol w:w="1000"/>
              <w:gridCol w:w="966"/>
              <w:gridCol w:w="1200"/>
            </w:tblGrid>
            <w:tr w:rsidR="001B47C1" w:rsidRPr="001B47C1" w:rsidTr="001B47C1">
              <w:trPr>
                <w:trHeight w:val="67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2022г</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2023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16"/>
                      <w:szCs w:val="16"/>
                      <w:lang w:eastAsia="ru-RU"/>
                    </w:rPr>
                  </w:pPr>
                  <w:r w:rsidRPr="001B47C1">
                    <w:rPr>
                      <w:rFonts w:ascii="Times New Roman" w:eastAsia="Times New Roman" w:hAnsi="Times New Roman" w:cs="Times New Roman"/>
                      <w:color w:val="000000"/>
                      <w:sz w:val="16"/>
                      <w:szCs w:val="16"/>
                      <w:lang w:eastAsia="ru-RU"/>
                    </w:rPr>
                    <w:t>% исполнения к 2022 году</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Доходы, всего</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486529,9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163765,8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33,7</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i/>
                      <w:iCs/>
                      <w:color w:val="000000"/>
                      <w:lang w:eastAsia="ru-RU"/>
                    </w:rPr>
                  </w:pPr>
                  <w:r w:rsidRPr="001B47C1">
                    <w:rPr>
                      <w:rFonts w:ascii="Times New Roman" w:eastAsia="Times New Roman" w:hAnsi="Times New Roman" w:cs="Times New Roman"/>
                      <w:b/>
                      <w:bCs/>
                      <w:i/>
                      <w:iCs/>
                      <w:color w:val="000000"/>
                      <w:lang w:eastAsia="ru-RU"/>
                    </w:rPr>
                    <w:t>Налоговые и неналоговые доходы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FF0000"/>
                      <w:sz w:val="20"/>
                      <w:szCs w:val="20"/>
                      <w:lang w:eastAsia="ru-RU"/>
                    </w:rPr>
                  </w:pPr>
                  <w:r w:rsidRPr="001B47C1">
                    <w:rPr>
                      <w:rFonts w:ascii="Times New Roman" w:eastAsia="Times New Roman" w:hAnsi="Times New Roman" w:cs="Times New Roman"/>
                      <w:b/>
                      <w:bCs/>
                      <w:i/>
                      <w:iCs/>
                      <w:color w:val="FF0000"/>
                      <w:sz w:val="20"/>
                      <w:szCs w:val="20"/>
                      <w:lang w:eastAsia="ru-RU"/>
                    </w:rPr>
                    <w:t>37357,7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FF0000"/>
                      <w:sz w:val="20"/>
                      <w:szCs w:val="20"/>
                      <w:lang w:eastAsia="ru-RU"/>
                    </w:rPr>
                  </w:pPr>
                  <w:r w:rsidRPr="001B47C1">
                    <w:rPr>
                      <w:rFonts w:ascii="Times New Roman" w:eastAsia="Times New Roman" w:hAnsi="Times New Roman" w:cs="Times New Roman"/>
                      <w:b/>
                      <w:bCs/>
                      <w:i/>
                      <w:iCs/>
                      <w:color w:val="FF0000"/>
                      <w:sz w:val="20"/>
                      <w:szCs w:val="20"/>
                      <w:lang w:eastAsia="ru-RU"/>
                    </w:rPr>
                    <w:t>49864,6</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133,5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вт.ч. НДФЛ</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26161,1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27180,9</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103,9</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акцизы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7692,1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8570,1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111,4</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 xml:space="preserve">упрощенная система </w:t>
                  </w:r>
                  <w:proofErr w:type="spellStart"/>
                  <w:r w:rsidRPr="001B47C1">
                    <w:rPr>
                      <w:rFonts w:ascii="Times New Roman" w:eastAsia="Times New Roman" w:hAnsi="Times New Roman" w:cs="Times New Roman"/>
                      <w:color w:val="000000"/>
                      <w:lang w:eastAsia="ru-RU"/>
                    </w:rPr>
                    <w:t>налогооблажения</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1406,9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1775,3</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126,2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единый налог на вменен</w:t>
                  </w:r>
                  <w:proofErr w:type="gramStart"/>
                  <w:r w:rsidRPr="001B47C1">
                    <w:rPr>
                      <w:rFonts w:ascii="Times New Roman" w:eastAsia="Times New Roman" w:hAnsi="Times New Roman" w:cs="Times New Roman"/>
                      <w:color w:val="000000"/>
                      <w:lang w:eastAsia="ru-RU"/>
                    </w:rPr>
                    <w:t>.</w:t>
                  </w:r>
                  <w:proofErr w:type="gramEnd"/>
                  <w:r w:rsidRPr="001B47C1">
                    <w:rPr>
                      <w:rFonts w:ascii="Times New Roman" w:eastAsia="Times New Roman" w:hAnsi="Times New Roman" w:cs="Times New Roman"/>
                      <w:color w:val="000000"/>
                      <w:lang w:eastAsia="ru-RU"/>
                    </w:rPr>
                    <w:t xml:space="preserve"> </w:t>
                  </w:r>
                  <w:proofErr w:type="gramStart"/>
                  <w:r w:rsidRPr="001B47C1">
                    <w:rPr>
                      <w:rFonts w:ascii="Times New Roman" w:eastAsia="Times New Roman" w:hAnsi="Times New Roman" w:cs="Times New Roman"/>
                      <w:color w:val="000000"/>
                      <w:lang w:eastAsia="ru-RU"/>
                    </w:rPr>
                    <w:t>д</w:t>
                  </w:r>
                  <w:proofErr w:type="gramEnd"/>
                  <w:r w:rsidRPr="001B47C1">
                    <w:rPr>
                      <w:rFonts w:ascii="Times New Roman" w:eastAsia="Times New Roman" w:hAnsi="Times New Roman" w:cs="Times New Roman"/>
                      <w:color w:val="000000"/>
                      <w:lang w:eastAsia="ru-RU"/>
                    </w:rPr>
                    <w:t>оход</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единый с/</w:t>
                  </w:r>
                  <w:proofErr w:type="spellStart"/>
                  <w:r w:rsidRPr="001B47C1">
                    <w:rPr>
                      <w:rFonts w:ascii="Times New Roman" w:eastAsia="Times New Roman" w:hAnsi="Times New Roman" w:cs="Times New Roman"/>
                      <w:color w:val="000000"/>
                      <w:lang w:eastAsia="ru-RU"/>
                    </w:rPr>
                    <w:t>х</w:t>
                  </w:r>
                  <w:proofErr w:type="spellEnd"/>
                  <w:r w:rsidRPr="001B47C1">
                    <w:rPr>
                      <w:rFonts w:ascii="Times New Roman" w:eastAsia="Times New Roman" w:hAnsi="Times New Roman" w:cs="Times New Roman"/>
                      <w:color w:val="000000"/>
                      <w:lang w:eastAsia="ru-RU"/>
                    </w:rPr>
                    <w:t xml:space="preserve"> налог</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0</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6,8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0,0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патент</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158,8</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90,9</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57,2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proofErr w:type="spellStart"/>
                  <w:proofErr w:type="gramStart"/>
                  <w:r w:rsidRPr="001B47C1">
                    <w:rPr>
                      <w:rFonts w:ascii="Times New Roman" w:eastAsia="Times New Roman" w:hAnsi="Times New Roman" w:cs="Times New Roman"/>
                      <w:color w:val="000000"/>
                      <w:lang w:eastAsia="ru-RU"/>
                    </w:rPr>
                    <w:t>гос</w:t>
                  </w:r>
                  <w:proofErr w:type="spellEnd"/>
                  <w:r w:rsidRPr="001B47C1">
                    <w:rPr>
                      <w:rFonts w:ascii="Times New Roman" w:eastAsia="Times New Roman" w:hAnsi="Times New Roman" w:cs="Times New Roman"/>
                      <w:color w:val="000000"/>
                      <w:lang w:eastAsia="ru-RU"/>
                    </w:rPr>
                    <w:t>. пошлина</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401,3</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421,6</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105,1</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аренда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138,8</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257,1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185,2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аренда земли</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488,3</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103,9</w:t>
                  </w:r>
                </w:p>
              </w:tc>
            </w:tr>
            <w:tr w:rsidR="001B47C1" w:rsidRPr="001B47C1" w:rsidTr="001B47C1">
              <w:trPr>
                <w:trHeight w:val="540"/>
              </w:trPr>
              <w:tc>
                <w:tcPr>
                  <w:tcW w:w="5260" w:type="dxa"/>
                  <w:tcBorders>
                    <w:top w:val="nil"/>
                    <w:left w:val="single" w:sz="4" w:space="0" w:color="auto"/>
                    <w:bottom w:val="single" w:sz="4" w:space="0" w:color="auto"/>
                    <w:right w:val="single" w:sz="4" w:space="0" w:color="auto"/>
                  </w:tcBorders>
                  <w:shd w:val="clear" w:color="000000" w:fill="FFFFFF"/>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lastRenderedPageBreak/>
                    <w:t xml:space="preserve">Платежи от государственных и муниципальных унитарных предприятий </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130</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38,5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000000" w:fill="FFFFFF"/>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Прочие  доходы от использования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757,1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6,6</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плата за негативное  воздействие  на окружающую среду</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257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242,8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94,5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доходы от реализации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 317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11,2</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E67CD3">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доходы от продажи зем</w:t>
                  </w:r>
                  <w:r w:rsidR="00E67CD3">
                    <w:rPr>
                      <w:rFonts w:ascii="Times New Roman" w:eastAsia="Times New Roman" w:hAnsi="Times New Roman" w:cs="Times New Roman"/>
                      <w:color w:val="000000"/>
                      <w:lang w:eastAsia="ru-RU"/>
                    </w:rPr>
                    <w:t>ельных</w:t>
                  </w:r>
                  <w:r w:rsidRPr="001B47C1">
                    <w:rPr>
                      <w:rFonts w:ascii="Times New Roman" w:eastAsia="Times New Roman" w:hAnsi="Times New Roman" w:cs="Times New Roman"/>
                      <w:color w:val="000000"/>
                      <w:lang w:eastAsia="ru-RU"/>
                    </w:rPr>
                    <w:t xml:space="preserve"> участков</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57,9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356,4</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615,5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штрафы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343,0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прочие неналоговые доходы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3,7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-0,3</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-8,1</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i/>
                      <w:iCs/>
                      <w:color w:val="000000"/>
                      <w:lang w:eastAsia="ru-RU"/>
                    </w:rPr>
                  </w:pPr>
                  <w:r w:rsidRPr="001B47C1">
                    <w:rPr>
                      <w:rFonts w:ascii="Times New Roman" w:eastAsia="Times New Roman" w:hAnsi="Times New Roman" w:cs="Times New Roman"/>
                      <w:b/>
                      <w:bCs/>
                      <w:i/>
                      <w:iCs/>
                      <w:color w:val="000000"/>
                      <w:lang w:eastAsia="ru-RU"/>
                    </w:rPr>
                    <w:t>Безвозмездные поступления</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000000"/>
                      <w:sz w:val="20"/>
                      <w:szCs w:val="20"/>
                      <w:lang w:eastAsia="ru-RU"/>
                    </w:rPr>
                  </w:pPr>
                  <w:r w:rsidRPr="001B47C1">
                    <w:rPr>
                      <w:rFonts w:ascii="Times New Roman" w:eastAsia="Times New Roman" w:hAnsi="Times New Roman" w:cs="Times New Roman"/>
                      <w:b/>
                      <w:bCs/>
                      <w:i/>
                      <w:iCs/>
                      <w:color w:val="000000"/>
                      <w:sz w:val="20"/>
                      <w:szCs w:val="20"/>
                      <w:lang w:eastAsia="ru-RU"/>
                    </w:rPr>
                    <w:t>449172,2</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000000"/>
                      <w:sz w:val="20"/>
                      <w:szCs w:val="20"/>
                      <w:lang w:eastAsia="ru-RU"/>
                    </w:rPr>
                  </w:pPr>
                  <w:r w:rsidRPr="001B47C1">
                    <w:rPr>
                      <w:rFonts w:ascii="Times New Roman" w:eastAsia="Times New Roman" w:hAnsi="Times New Roman" w:cs="Times New Roman"/>
                      <w:b/>
                      <w:bCs/>
                      <w:i/>
                      <w:iCs/>
                      <w:color w:val="000000"/>
                      <w:sz w:val="20"/>
                      <w:szCs w:val="20"/>
                      <w:lang w:eastAsia="ru-RU"/>
                    </w:rPr>
                    <w:t>113901,1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25,4</w:t>
                  </w:r>
                </w:p>
              </w:tc>
            </w:tr>
          </w:tbl>
          <w:p w:rsidR="001B47C1" w:rsidRDefault="001B47C1"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p w:rsidR="00F26B1D" w:rsidRPr="00BB27C5" w:rsidRDefault="00F26B1D"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p w:rsidR="00F26B1D" w:rsidRDefault="001B47C1"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Pr>
                <w:noProof/>
                <w:lang w:eastAsia="ru-RU"/>
              </w:rPr>
              <w:drawing>
                <wp:inline distT="0" distB="0" distL="0" distR="0">
                  <wp:extent cx="5800725" cy="589597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26B1D" w:rsidRDefault="00F26B1D" w:rsidP="00BB27C5">
            <w:pPr>
              <w:autoSpaceDE w:val="0"/>
              <w:autoSpaceDN w:val="0"/>
              <w:adjustRightInd w:val="0"/>
              <w:spacing w:after="0" w:line="240" w:lineRule="auto"/>
              <w:rPr>
                <w:rFonts w:ascii="Times New Roman" w:eastAsia="Times New Roman" w:hAnsi="Times New Roman" w:cs="Calibri"/>
                <w:color w:val="000000"/>
                <w:szCs w:val="24"/>
                <w:lang w:eastAsia="ru-RU"/>
              </w:rPr>
            </w:pPr>
          </w:p>
          <w:p w:rsidR="00F26B1D" w:rsidRDefault="00F26B1D" w:rsidP="00BB27C5">
            <w:pPr>
              <w:autoSpaceDE w:val="0"/>
              <w:autoSpaceDN w:val="0"/>
              <w:adjustRightInd w:val="0"/>
              <w:spacing w:after="0" w:line="240" w:lineRule="auto"/>
              <w:rPr>
                <w:rFonts w:ascii="Times New Roman" w:eastAsia="Times New Roman" w:hAnsi="Times New Roman" w:cs="Calibri"/>
                <w:color w:val="000000"/>
                <w:szCs w:val="24"/>
                <w:lang w:eastAsia="ru-RU"/>
              </w:rPr>
            </w:pPr>
          </w:p>
          <w:p w:rsidR="00BB27C5" w:rsidRDefault="00BB27C5"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sidRPr="00BB27C5">
              <w:rPr>
                <w:rFonts w:ascii="Times New Roman" w:eastAsia="Times New Roman" w:hAnsi="Times New Roman" w:cs="Calibri"/>
                <w:color w:val="000000"/>
                <w:szCs w:val="24"/>
                <w:lang w:eastAsia="ru-RU"/>
              </w:rPr>
              <w:t> </w:t>
            </w:r>
          </w:p>
          <w:p w:rsidR="005277B3" w:rsidRPr="00BB27C5" w:rsidRDefault="005277B3" w:rsidP="00BB27C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51"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Cs w:val="24"/>
                <w:lang w:eastAsia="ru-RU"/>
              </w:rPr>
              <w:lastRenderedPageBreak/>
              <w:t> </w:t>
            </w:r>
          </w:p>
        </w:tc>
        <w:tc>
          <w:tcPr>
            <w:tcW w:w="938"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Cs w:val="24"/>
                <w:lang w:eastAsia="ru-RU"/>
              </w:rPr>
              <w:t> </w:t>
            </w:r>
          </w:p>
        </w:tc>
        <w:tc>
          <w:tcPr>
            <w:tcW w:w="1099"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16"/>
                <w:szCs w:val="24"/>
                <w:lang w:eastAsia="ru-RU"/>
              </w:rPr>
              <w:t> </w:t>
            </w:r>
          </w:p>
        </w:tc>
      </w:tr>
    </w:tbl>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BB27C5">
        <w:rPr>
          <w:rFonts w:ascii="Calibri" w:eastAsia="Times New Roman" w:hAnsi="Calibri" w:cs="Calibri"/>
          <w:color w:val="000000"/>
          <w:szCs w:val="24"/>
          <w:lang w:eastAsia="ru-RU"/>
        </w:rPr>
        <w:lastRenderedPageBreak/>
        <w:t> </w:t>
      </w:r>
    </w:p>
    <w:p w:rsidR="00520D0C" w:rsidRDefault="00520D0C" w:rsidP="00BB27C5">
      <w:pPr>
        <w:autoSpaceDE w:val="0"/>
        <w:autoSpaceDN w:val="0"/>
        <w:adjustRightInd w:val="0"/>
        <w:spacing w:after="0" w:line="240" w:lineRule="auto"/>
        <w:rPr>
          <w:rFonts w:ascii="Times New Roman" w:eastAsia="Times New Roman" w:hAnsi="Times New Roman" w:cs="Calibri"/>
          <w:b/>
          <w:color w:val="000000"/>
          <w:sz w:val="24"/>
          <w:szCs w:val="24"/>
          <w:lang w:eastAsia="ru-RU"/>
        </w:rPr>
      </w:pPr>
    </w:p>
    <w:p w:rsidR="00BB27C5" w:rsidRDefault="00BB27C5" w:rsidP="00BB27C5">
      <w:pPr>
        <w:autoSpaceDE w:val="0"/>
        <w:autoSpaceDN w:val="0"/>
        <w:adjustRightInd w:val="0"/>
        <w:spacing w:after="0" w:line="240" w:lineRule="auto"/>
        <w:rPr>
          <w:rFonts w:ascii="Times New Roman" w:eastAsia="Times New Roman" w:hAnsi="Times New Roman" w:cs="Calibri"/>
          <w:b/>
          <w:color w:val="000000"/>
          <w:sz w:val="24"/>
          <w:szCs w:val="24"/>
          <w:lang w:eastAsia="ru-RU"/>
        </w:rPr>
      </w:pPr>
      <w:r w:rsidRPr="00BB27C5">
        <w:rPr>
          <w:rFonts w:ascii="Times New Roman" w:eastAsia="Times New Roman" w:hAnsi="Times New Roman" w:cs="Calibri"/>
          <w:b/>
          <w:color w:val="000000"/>
          <w:sz w:val="24"/>
          <w:szCs w:val="24"/>
          <w:lang w:eastAsia="ru-RU"/>
        </w:rPr>
        <w:lastRenderedPageBreak/>
        <w:t>Исполнение расходов за 2023 год</w:t>
      </w:r>
    </w:p>
    <w:p w:rsidR="0089260A" w:rsidRPr="00BB27C5" w:rsidRDefault="0089260A" w:rsidP="00BB27C5">
      <w:pPr>
        <w:autoSpaceDE w:val="0"/>
        <w:autoSpaceDN w:val="0"/>
        <w:adjustRightInd w:val="0"/>
        <w:spacing w:after="0" w:line="240" w:lineRule="auto"/>
        <w:rPr>
          <w:rFonts w:ascii="Times New Roman" w:eastAsia="Times New Roman" w:hAnsi="Times New Roman" w:cs="Times New Roman"/>
          <w:sz w:val="24"/>
          <w:szCs w:val="24"/>
          <w:lang w:eastAsia="ru-RU"/>
        </w:rPr>
      </w:pPr>
    </w:p>
    <w:p w:rsidR="00F3062D" w:rsidRDefault="00BB27C5"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 xml:space="preserve">Бюджетная политика в части расходов местного бюджета в основном была направлена на финансирование расходов социальной сферы.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 xml:space="preserve">Все первоочередные расходы бюджета района по состоянию на 1 января 2024 года профинансированы в полном объёме. Просроченная кредиторская задолженность по состоянию на 01.01.2024 года отсутствует. </w:t>
      </w:r>
    </w:p>
    <w:p w:rsidR="00BB27C5" w:rsidRDefault="00BB27C5"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 xml:space="preserve">Кредиторская и дебиторская задолженность по одному контрагенту </w:t>
      </w:r>
      <w:proofErr w:type="gramStart"/>
      <w:r w:rsidRPr="00BB27C5">
        <w:rPr>
          <w:rFonts w:ascii="Times New Roman" w:eastAsia="Times New Roman" w:hAnsi="Times New Roman" w:cs="Calibri"/>
          <w:color w:val="000000"/>
          <w:sz w:val="24"/>
          <w:szCs w:val="24"/>
          <w:lang w:eastAsia="ru-RU"/>
        </w:rPr>
        <w:t>свыше одного миллиона рублей отсутствует</w:t>
      </w:r>
      <w:proofErr w:type="gramEnd"/>
      <w:r w:rsidRPr="00BB27C5">
        <w:rPr>
          <w:rFonts w:ascii="Times New Roman" w:eastAsia="Times New Roman" w:hAnsi="Times New Roman" w:cs="Calibri"/>
          <w:color w:val="000000"/>
          <w:sz w:val="24"/>
          <w:szCs w:val="24"/>
          <w:lang w:eastAsia="ru-RU"/>
        </w:rPr>
        <w:t xml:space="preserve"> (в том числе и просроченная).</w:t>
      </w: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 xml:space="preserve">В общей сумме расходов на социальную сферу приходится </w:t>
      </w:r>
      <w:r>
        <w:rPr>
          <w:rFonts w:ascii="Times New Roman" w:eastAsia="Times New Roman" w:hAnsi="Times New Roman" w:cs="Calibri"/>
          <w:color w:val="000000"/>
          <w:sz w:val="24"/>
          <w:szCs w:val="24"/>
          <w:lang w:eastAsia="ru-RU"/>
        </w:rPr>
        <w:t>102291,9</w:t>
      </w:r>
      <w:r w:rsidRPr="00BB27C5">
        <w:rPr>
          <w:rFonts w:ascii="Times New Roman" w:eastAsia="Times New Roman" w:hAnsi="Times New Roman" w:cs="Calibri"/>
          <w:color w:val="000000"/>
          <w:sz w:val="24"/>
          <w:szCs w:val="24"/>
          <w:lang w:eastAsia="ru-RU"/>
        </w:rPr>
        <w:t xml:space="preserve"> тыс. рублей, что составляет </w:t>
      </w:r>
      <w:r>
        <w:rPr>
          <w:rFonts w:ascii="Times New Roman" w:eastAsia="Times New Roman" w:hAnsi="Times New Roman" w:cs="Calibri"/>
          <w:color w:val="000000"/>
          <w:sz w:val="24"/>
          <w:szCs w:val="24"/>
          <w:lang w:eastAsia="ru-RU"/>
        </w:rPr>
        <w:t>63,75</w:t>
      </w:r>
      <w:r w:rsidRPr="00BB27C5">
        <w:rPr>
          <w:rFonts w:ascii="Times New Roman" w:eastAsia="Times New Roman" w:hAnsi="Times New Roman" w:cs="Calibri"/>
          <w:color w:val="000000"/>
          <w:sz w:val="24"/>
          <w:szCs w:val="24"/>
          <w:lang w:eastAsia="ru-RU"/>
        </w:rPr>
        <w:t xml:space="preserve"> % от общих расходов</w:t>
      </w:r>
      <w:r w:rsidR="00520D0C">
        <w:rPr>
          <w:rFonts w:ascii="Times New Roman" w:eastAsia="Times New Roman" w:hAnsi="Times New Roman" w:cs="Calibri"/>
          <w:color w:val="000000"/>
          <w:sz w:val="24"/>
          <w:szCs w:val="24"/>
          <w:lang w:eastAsia="ru-RU"/>
        </w:rPr>
        <w:t xml:space="preserve"> (</w:t>
      </w:r>
      <w:r w:rsidRPr="00F3062D">
        <w:rPr>
          <w:rFonts w:ascii="Times New Roman" w:eastAsia="Times New Roman" w:hAnsi="Times New Roman" w:cs="Calibri"/>
          <w:color w:val="000000"/>
          <w:sz w:val="24"/>
          <w:szCs w:val="24"/>
          <w:lang w:eastAsia="ru-RU"/>
        </w:rPr>
        <w:t>расходы </w:t>
      </w:r>
      <w:r w:rsidR="00520D0C">
        <w:rPr>
          <w:rFonts w:ascii="Times New Roman" w:eastAsia="Times New Roman" w:hAnsi="Times New Roman" w:cs="Calibri"/>
          <w:color w:val="000000"/>
          <w:sz w:val="24"/>
          <w:szCs w:val="24"/>
          <w:lang w:eastAsia="ru-RU"/>
        </w:rPr>
        <w:t>на образование, культуру и искусство, физическую</w:t>
      </w:r>
      <w:r w:rsidRPr="00F3062D">
        <w:rPr>
          <w:rFonts w:ascii="Times New Roman" w:eastAsia="Times New Roman" w:hAnsi="Times New Roman" w:cs="Calibri"/>
          <w:color w:val="000000"/>
          <w:sz w:val="24"/>
          <w:szCs w:val="24"/>
          <w:lang w:eastAsia="ru-RU"/>
        </w:rPr>
        <w:t xml:space="preserve"> культуру и спо</w:t>
      </w:r>
      <w:r w:rsidR="00520D0C">
        <w:rPr>
          <w:rFonts w:ascii="Times New Roman" w:eastAsia="Times New Roman" w:hAnsi="Times New Roman" w:cs="Calibri"/>
          <w:color w:val="000000"/>
          <w:sz w:val="24"/>
          <w:szCs w:val="24"/>
          <w:lang w:eastAsia="ru-RU"/>
        </w:rPr>
        <w:t>рт, социальную </w:t>
      </w:r>
      <w:proofErr w:type="spellStart"/>
      <w:r w:rsidR="00520D0C">
        <w:rPr>
          <w:rFonts w:ascii="Times New Roman" w:eastAsia="Times New Roman" w:hAnsi="Times New Roman" w:cs="Calibri"/>
          <w:color w:val="000000"/>
          <w:sz w:val="24"/>
          <w:szCs w:val="24"/>
          <w:lang w:eastAsia="ru-RU"/>
        </w:rPr>
        <w:t>пилитику</w:t>
      </w:r>
      <w:proofErr w:type="spellEnd"/>
      <w:r w:rsidR="00520D0C">
        <w:rPr>
          <w:rFonts w:ascii="Times New Roman" w:eastAsia="Times New Roman" w:hAnsi="Times New Roman" w:cs="Calibri"/>
          <w:color w:val="000000"/>
          <w:sz w:val="24"/>
          <w:szCs w:val="24"/>
          <w:lang w:eastAsia="ru-RU"/>
        </w:rPr>
        <w:t>).</w:t>
      </w: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 xml:space="preserve">Исполнение </w:t>
      </w:r>
      <w:r>
        <w:rPr>
          <w:rFonts w:ascii="Times New Roman" w:eastAsia="Times New Roman" w:hAnsi="Times New Roman" w:cs="Times New Roman"/>
          <w:color w:val="000000"/>
          <w:sz w:val="24"/>
          <w:szCs w:val="24"/>
          <w:lang w:eastAsia="ru-RU"/>
        </w:rPr>
        <w:t>расходов</w:t>
      </w:r>
      <w:r w:rsidRPr="00BB27C5">
        <w:rPr>
          <w:rFonts w:ascii="Times New Roman" w:eastAsia="Times New Roman" w:hAnsi="Times New Roman" w:cs="Times New Roman"/>
          <w:color w:val="000000"/>
          <w:sz w:val="24"/>
          <w:szCs w:val="24"/>
          <w:lang w:eastAsia="ru-RU"/>
        </w:rPr>
        <w:t xml:space="preserve"> к уточненному годовому</w:t>
      </w:r>
      <w:r>
        <w:rPr>
          <w:rFonts w:ascii="Times New Roman" w:eastAsia="Times New Roman" w:hAnsi="Times New Roman" w:cs="Times New Roman"/>
          <w:color w:val="000000"/>
          <w:sz w:val="24"/>
          <w:szCs w:val="24"/>
          <w:lang w:eastAsia="ru-RU"/>
        </w:rPr>
        <w:t xml:space="preserve"> плану:</w:t>
      </w:r>
    </w:p>
    <w:p w:rsidR="007C5B29" w:rsidRPr="00BB27C5" w:rsidRDefault="007C5B29" w:rsidP="007C5B29">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tbl>
      <w:tblPr>
        <w:tblW w:w="7980" w:type="dxa"/>
        <w:tblInd w:w="-20" w:type="dxa"/>
        <w:tblLook w:val="04A0"/>
      </w:tblPr>
      <w:tblGrid>
        <w:gridCol w:w="1840"/>
        <w:gridCol w:w="2060"/>
        <w:gridCol w:w="1920"/>
        <w:gridCol w:w="2160"/>
      </w:tblGrid>
      <w:tr w:rsidR="007C5B29" w:rsidRPr="007C5B29" w:rsidTr="007C5B29">
        <w:trPr>
          <w:trHeight w:val="375"/>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proofErr w:type="spellStart"/>
            <w:r w:rsidRPr="007C5B29">
              <w:rPr>
                <w:rFonts w:ascii="Calibri" w:eastAsia="Times New Roman" w:hAnsi="Calibri" w:cs="Calibri"/>
                <w:b/>
                <w:bCs/>
                <w:color w:val="000000"/>
                <w:lang w:eastAsia="ru-RU"/>
              </w:rPr>
              <w:t>рзд</w:t>
            </w:r>
            <w:proofErr w:type="spellEnd"/>
            <w:r w:rsidRPr="007C5B29">
              <w:rPr>
                <w:rFonts w:ascii="Calibri" w:eastAsia="Times New Roman" w:hAnsi="Calibri" w:cs="Calibri"/>
                <w:b/>
                <w:bCs/>
                <w:color w:val="000000"/>
                <w:lang w:eastAsia="ru-RU"/>
              </w:rPr>
              <w:t>/</w:t>
            </w:r>
            <w:proofErr w:type="spellStart"/>
            <w:r w:rsidRPr="007C5B29">
              <w:rPr>
                <w:rFonts w:ascii="Calibri" w:eastAsia="Times New Roman" w:hAnsi="Calibri" w:cs="Calibri"/>
                <w:b/>
                <w:bCs/>
                <w:color w:val="000000"/>
                <w:lang w:eastAsia="ru-RU"/>
              </w:rPr>
              <w:t>прд</w:t>
            </w:r>
            <w:proofErr w:type="spellEnd"/>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план</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факт</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процент к плану</w:t>
            </w:r>
          </w:p>
        </w:tc>
      </w:tr>
      <w:tr w:rsidR="007C5B29" w:rsidRPr="007C5B29" w:rsidTr="007C5B29">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0700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82 976 461,79</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81 145 462,96</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97,79</w:t>
            </w:r>
          </w:p>
        </w:tc>
      </w:tr>
      <w:tr w:rsidR="007C5B29" w:rsidRPr="007C5B29" w:rsidTr="007C5B29">
        <w:trPr>
          <w:trHeight w:val="34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0800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18 033 268,85</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17 168 954,79</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95,21</w:t>
            </w:r>
          </w:p>
        </w:tc>
      </w:tr>
      <w:tr w:rsidR="007C5B29" w:rsidRPr="007C5B29" w:rsidTr="007C5B29">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2 886 325,00</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2 719 388,37</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94,22</w:t>
            </w:r>
          </w:p>
        </w:tc>
      </w:tr>
      <w:tr w:rsidR="007C5B29" w:rsidRPr="007C5B29" w:rsidTr="007C5B29">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1100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1 267 219,00</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1 258 070,71</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99,28</w:t>
            </w:r>
          </w:p>
        </w:tc>
      </w:tr>
      <w:tr w:rsidR="007C5B29" w:rsidRPr="007C5B29" w:rsidTr="007C5B29">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итого</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105 163 274,64</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102 291 876,83</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97,27</w:t>
            </w:r>
          </w:p>
        </w:tc>
      </w:tr>
      <w:tr w:rsidR="007C5B29" w:rsidRPr="007C5B29" w:rsidTr="007C5B29">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всего расходов</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176 327 214,48</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160 446 183,01</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 </w:t>
            </w:r>
          </w:p>
        </w:tc>
      </w:tr>
      <w:tr w:rsidR="007C5B29" w:rsidRPr="007C5B29" w:rsidTr="007C5B29">
        <w:trPr>
          <w:trHeight w:val="525"/>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Процент к общим расходам</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59,64</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63,75</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 </w:t>
            </w:r>
          </w:p>
        </w:tc>
      </w:tr>
    </w:tbl>
    <w:p w:rsidR="007C5B29" w:rsidRPr="00BB27C5" w:rsidRDefault="007C5B29"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В разрезе отраслей исполнение расходов характеризуется по следующим показателям:</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Общегосударственные вопросы</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Расходы по общегосударственным вопросам в 2023 году составили </w:t>
      </w:r>
      <w:r w:rsidR="00993798">
        <w:rPr>
          <w:rFonts w:ascii="Times New Roman" w:eastAsia="Times New Roman" w:hAnsi="Times New Roman" w:cs="Calibri"/>
          <w:color w:val="000000"/>
          <w:sz w:val="24"/>
          <w:szCs w:val="24"/>
          <w:lang w:eastAsia="ru-RU"/>
        </w:rPr>
        <w:t>33 084,6</w:t>
      </w:r>
      <w:r w:rsidRPr="005277B3">
        <w:rPr>
          <w:rFonts w:ascii="Times New Roman" w:eastAsia="Times New Roman" w:hAnsi="Times New Roman" w:cs="Calibri"/>
          <w:color w:val="000000"/>
          <w:sz w:val="24"/>
          <w:szCs w:val="24"/>
          <w:lang w:eastAsia="ru-RU"/>
        </w:rPr>
        <w:t xml:space="preserve"> тыс. рублей. Из них расходы на содержание главы района </w:t>
      </w:r>
      <w:r w:rsidR="003F0D55">
        <w:rPr>
          <w:rFonts w:ascii="Times New Roman" w:eastAsia="Times New Roman" w:hAnsi="Times New Roman" w:cs="Calibri"/>
          <w:color w:val="000000"/>
          <w:sz w:val="24"/>
          <w:szCs w:val="24"/>
          <w:lang w:eastAsia="ru-RU"/>
        </w:rPr>
        <w:t>составили 2 695,4</w:t>
      </w:r>
      <w:r w:rsidRPr="005277B3">
        <w:rPr>
          <w:rFonts w:ascii="Times New Roman" w:eastAsia="Times New Roman" w:hAnsi="Times New Roman" w:cs="Calibri"/>
          <w:color w:val="000000"/>
          <w:sz w:val="24"/>
          <w:szCs w:val="24"/>
          <w:lang w:eastAsia="ru-RU"/>
        </w:rPr>
        <w:t xml:space="preserve"> тыс. рублей, на содержание аппарата управления в сумме </w:t>
      </w:r>
      <w:r w:rsidR="003F0D55">
        <w:rPr>
          <w:rFonts w:ascii="Times New Roman" w:eastAsia="Times New Roman" w:hAnsi="Times New Roman" w:cs="Calibri"/>
          <w:color w:val="000000"/>
          <w:sz w:val="24"/>
          <w:szCs w:val="24"/>
          <w:lang w:eastAsia="ru-RU"/>
        </w:rPr>
        <w:t>20 791,8</w:t>
      </w:r>
      <w:r w:rsidRPr="005277B3">
        <w:rPr>
          <w:rFonts w:ascii="Times New Roman" w:eastAsia="Times New Roman" w:hAnsi="Times New Roman" w:cs="Calibri"/>
          <w:color w:val="000000"/>
          <w:sz w:val="24"/>
          <w:szCs w:val="24"/>
          <w:lang w:eastAsia="ru-RU"/>
        </w:rPr>
        <w:t xml:space="preserve"> тыс. рублей, на содержание финансового органа </w:t>
      </w:r>
      <w:r w:rsidR="003F0D55">
        <w:rPr>
          <w:rFonts w:ascii="Times New Roman" w:eastAsia="Times New Roman" w:hAnsi="Times New Roman" w:cs="Calibri"/>
          <w:color w:val="000000"/>
          <w:sz w:val="24"/>
          <w:szCs w:val="24"/>
          <w:lang w:eastAsia="ru-RU"/>
        </w:rPr>
        <w:t>4 374,3</w:t>
      </w:r>
      <w:r w:rsidRPr="005277B3">
        <w:rPr>
          <w:rFonts w:ascii="Times New Roman" w:eastAsia="Times New Roman" w:hAnsi="Times New Roman" w:cs="Calibri"/>
          <w:color w:val="000000"/>
          <w:sz w:val="24"/>
          <w:szCs w:val="24"/>
          <w:lang w:eastAsia="ru-RU"/>
        </w:rPr>
        <w:t xml:space="preserve"> тыс. рублей, на обеспечение функций представительного органа </w:t>
      </w:r>
      <w:r w:rsidR="003F0D55">
        <w:rPr>
          <w:rFonts w:ascii="Times New Roman" w:eastAsia="Times New Roman" w:hAnsi="Times New Roman" w:cs="Calibri"/>
          <w:color w:val="000000"/>
          <w:sz w:val="24"/>
          <w:szCs w:val="24"/>
          <w:lang w:eastAsia="ru-RU"/>
        </w:rPr>
        <w:t>36,2</w:t>
      </w:r>
      <w:r w:rsidRPr="005277B3">
        <w:rPr>
          <w:rFonts w:ascii="Times New Roman" w:eastAsia="Times New Roman" w:hAnsi="Times New Roman" w:cs="Calibri"/>
          <w:color w:val="000000"/>
          <w:sz w:val="24"/>
          <w:szCs w:val="24"/>
          <w:lang w:eastAsia="ru-RU"/>
        </w:rPr>
        <w:t xml:space="preserve"> тыс. рублей, на списки кандидатов в присяжные заседатели при плане 0,7 тыс</w:t>
      </w:r>
      <w:proofErr w:type="gramStart"/>
      <w:r w:rsidRPr="005277B3">
        <w:rPr>
          <w:rFonts w:ascii="Times New Roman" w:eastAsia="Times New Roman" w:hAnsi="Times New Roman" w:cs="Calibri"/>
          <w:color w:val="000000"/>
          <w:sz w:val="24"/>
          <w:szCs w:val="24"/>
          <w:lang w:eastAsia="ru-RU"/>
        </w:rPr>
        <w:t>.р</w:t>
      </w:r>
      <w:proofErr w:type="gramEnd"/>
      <w:r w:rsidRPr="005277B3">
        <w:rPr>
          <w:rFonts w:ascii="Times New Roman" w:eastAsia="Times New Roman" w:hAnsi="Times New Roman" w:cs="Calibri"/>
          <w:color w:val="000000"/>
          <w:sz w:val="24"/>
          <w:szCs w:val="24"/>
          <w:lang w:eastAsia="ru-RU"/>
        </w:rPr>
        <w:t xml:space="preserve">ублей деньги освоены не были, на обеспечение и проведения выборов и референдумов 627,6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 xml:space="preserve">На другие общегосударственные вопросы профинансировано </w:t>
      </w:r>
      <w:r w:rsidR="003F0D55">
        <w:rPr>
          <w:rFonts w:ascii="Times New Roman" w:eastAsia="Times New Roman" w:hAnsi="Times New Roman" w:cs="Calibri"/>
          <w:color w:val="000000"/>
          <w:sz w:val="24"/>
          <w:szCs w:val="24"/>
          <w:lang w:eastAsia="ru-RU"/>
        </w:rPr>
        <w:t>4 559,1</w:t>
      </w:r>
      <w:r w:rsidRPr="005277B3">
        <w:rPr>
          <w:rFonts w:ascii="Times New Roman" w:eastAsia="Times New Roman" w:hAnsi="Times New Roman" w:cs="Calibri"/>
          <w:color w:val="000000"/>
          <w:sz w:val="24"/>
          <w:szCs w:val="24"/>
          <w:lang w:eastAsia="ru-RU"/>
        </w:rPr>
        <w:t xml:space="preserve"> тыс. рублей, в т. ч. на содержание единой диспетчерской службы составил 2 236,9 тыс. рублей, на обеспечение информированности населения о деятельности органов местного самоуправления через редакцию на 100,0 тыс. рублей, на </w:t>
      </w:r>
      <w:proofErr w:type="spellStart"/>
      <w:r w:rsidRPr="005277B3">
        <w:rPr>
          <w:rFonts w:ascii="Times New Roman" w:eastAsia="Times New Roman" w:hAnsi="Times New Roman" w:cs="Calibri"/>
          <w:color w:val="000000"/>
          <w:sz w:val="24"/>
          <w:szCs w:val="24"/>
          <w:lang w:eastAsia="ru-RU"/>
        </w:rPr>
        <w:t>антинаркотическую</w:t>
      </w:r>
      <w:proofErr w:type="spellEnd"/>
      <w:r w:rsidRPr="005277B3">
        <w:rPr>
          <w:rFonts w:ascii="Times New Roman" w:eastAsia="Times New Roman" w:hAnsi="Times New Roman" w:cs="Calibri"/>
          <w:color w:val="000000"/>
          <w:sz w:val="24"/>
          <w:szCs w:val="24"/>
          <w:lang w:eastAsia="ru-RU"/>
        </w:rPr>
        <w:t xml:space="preserve"> пропаганду израсходовано 10,0 тыс. рублей, на осуществление мероприятий из резервного фонда администрации района 59,2 тыс. рублей, на </w:t>
      </w:r>
      <w:r w:rsidR="003F0D55">
        <w:rPr>
          <w:rFonts w:ascii="Times New Roman" w:eastAsia="Times New Roman" w:hAnsi="Times New Roman" w:cs="Calibri"/>
          <w:color w:val="000000"/>
          <w:sz w:val="24"/>
          <w:szCs w:val="24"/>
          <w:lang w:eastAsia="ru-RU"/>
        </w:rPr>
        <w:t>м</w:t>
      </w:r>
      <w:r w:rsidRPr="005277B3">
        <w:rPr>
          <w:rFonts w:ascii="Times New Roman" w:eastAsia="Times New Roman" w:hAnsi="Times New Roman" w:cs="Calibri"/>
          <w:color w:val="000000"/>
          <w:sz w:val="24"/>
          <w:szCs w:val="24"/>
          <w:lang w:eastAsia="ru-RU"/>
        </w:rPr>
        <w:t xml:space="preserve">ероприятия по осуществлению </w:t>
      </w:r>
      <w:proofErr w:type="spellStart"/>
      <w:r w:rsidRPr="005277B3">
        <w:rPr>
          <w:rFonts w:ascii="Times New Roman" w:eastAsia="Times New Roman" w:hAnsi="Times New Roman" w:cs="Calibri"/>
          <w:color w:val="000000"/>
          <w:sz w:val="24"/>
          <w:szCs w:val="24"/>
          <w:lang w:eastAsia="ru-RU"/>
        </w:rPr>
        <w:t>антинаркотической</w:t>
      </w:r>
      <w:proofErr w:type="spellEnd"/>
      <w:proofErr w:type="gramEnd"/>
      <w:r w:rsidRPr="005277B3">
        <w:rPr>
          <w:rFonts w:ascii="Times New Roman" w:eastAsia="Times New Roman" w:hAnsi="Times New Roman" w:cs="Calibri"/>
          <w:color w:val="000000"/>
          <w:sz w:val="24"/>
          <w:szCs w:val="24"/>
          <w:lang w:eastAsia="ru-RU"/>
        </w:rPr>
        <w:t xml:space="preserve"> пропаганды и </w:t>
      </w:r>
      <w:proofErr w:type="spellStart"/>
      <w:r w:rsidRPr="005277B3">
        <w:rPr>
          <w:rFonts w:ascii="Times New Roman" w:eastAsia="Times New Roman" w:hAnsi="Times New Roman" w:cs="Calibri"/>
          <w:color w:val="000000"/>
          <w:sz w:val="24"/>
          <w:szCs w:val="24"/>
          <w:lang w:eastAsia="ru-RU"/>
        </w:rPr>
        <w:t>антинаркотического</w:t>
      </w:r>
      <w:proofErr w:type="spellEnd"/>
      <w:r w:rsidRPr="005277B3">
        <w:rPr>
          <w:rFonts w:ascii="Times New Roman" w:eastAsia="Times New Roman" w:hAnsi="Times New Roman" w:cs="Calibri"/>
          <w:color w:val="000000"/>
          <w:sz w:val="24"/>
          <w:szCs w:val="24"/>
          <w:lang w:eastAsia="ru-RU"/>
        </w:rPr>
        <w:t xml:space="preserve"> просвещения 5,4 тыс. рублей,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к мероприятиям по пограничной безопасности 5,8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Из областного бюджета по другим общегосударственным вопросам выделено на выполнение полномочий по образованию и обеспечению деятельности комиссий по делам несовершеннолетних 520 тыс. рублей, на субвенцию на исполнение государственных полномочий по сбору информации, необходимой для ведения регистра муниципальных правовых актов 54,0 тыс. рублей, на реализацию мероприятий по пограничной безопасности 576,7 тыс. рублей, на исполнение государственных полномочий по созданию административных комиссий 1</w:t>
      </w:r>
      <w:proofErr w:type="gramEnd"/>
      <w:r w:rsidRPr="005277B3">
        <w:rPr>
          <w:rFonts w:ascii="Times New Roman" w:eastAsia="Times New Roman" w:hAnsi="Times New Roman" w:cs="Calibri"/>
          <w:color w:val="000000"/>
          <w:sz w:val="24"/>
          <w:szCs w:val="24"/>
          <w:lang w:eastAsia="ru-RU"/>
        </w:rPr>
        <w:t xml:space="preserve">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Национальная оборона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"Национальная оборона" в 2023 году составили 516,8 тыс. рублей, в том числе на субвенцию на осуществление полномочий по первичному воинскому учету 516,8 тыс. рублей, расходы осуществлялись в поселениях.</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Национальная безопасность и правоохранительная деятельность</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по разделу национальной безопасности и правоохранительной деятельности за 2023 году составило </w:t>
      </w:r>
      <w:r w:rsidR="003F0D55">
        <w:rPr>
          <w:rFonts w:ascii="Times New Roman" w:eastAsia="Times New Roman" w:hAnsi="Times New Roman" w:cs="Calibri"/>
          <w:color w:val="000000"/>
          <w:sz w:val="24"/>
          <w:szCs w:val="24"/>
          <w:lang w:eastAsia="ru-RU"/>
        </w:rPr>
        <w:t>307</w:t>
      </w:r>
      <w:r w:rsidRPr="005277B3">
        <w:rPr>
          <w:rFonts w:ascii="Times New Roman" w:eastAsia="Times New Roman" w:hAnsi="Times New Roman" w:cs="Calibri"/>
          <w:color w:val="000000"/>
          <w:sz w:val="24"/>
          <w:szCs w:val="24"/>
          <w:lang w:eastAsia="ru-RU"/>
        </w:rPr>
        <w:t xml:space="preserve">,6 тыс. рублей, в том числе на проведения мероприятий по профилактике правонарушений </w:t>
      </w:r>
      <w:proofErr w:type="gramStart"/>
      <w:r w:rsidRPr="005277B3">
        <w:rPr>
          <w:rFonts w:ascii="Times New Roman" w:eastAsia="Times New Roman" w:hAnsi="Times New Roman" w:cs="Calibri"/>
          <w:color w:val="000000"/>
          <w:sz w:val="24"/>
          <w:szCs w:val="24"/>
          <w:lang w:eastAsia="ru-RU"/>
        </w:rPr>
        <w:t>с</w:t>
      </w:r>
      <w:proofErr w:type="gramEnd"/>
      <w:r w:rsidRPr="005277B3">
        <w:rPr>
          <w:rFonts w:ascii="Times New Roman" w:eastAsia="Times New Roman" w:hAnsi="Times New Roman" w:cs="Calibri"/>
          <w:color w:val="000000"/>
          <w:sz w:val="24"/>
          <w:szCs w:val="24"/>
          <w:lang w:eastAsia="ru-RU"/>
        </w:rPr>
        <w:t xml:space="preserve"> </w:t>
      </w:r>
      <w:proofErr w:type="gramStart"/>
      <w:r w:rsidRPr="005277B3">
        <w:rPr>
          <w:rFonts w:ascii="Times New Roman" w:eastAsia="Times New Roman" w:hAnsi="Times New Roman" w:cs="Calibri"/>
          <w:color w:val="000000"/>
          <w:sz w:val="24"/>
          <w:szCs w:val="24"/>
          <w:lang w:eastAsia="ru-RU"/>
        </w:rPr>
        <w:t>сумме</w:t>
      </w:r>
      <w:proofErr w:type="gramEnd"/>
      <w:r w:rsidRPr="005277B3">
        <w:rPr>
          <w:rFonts w:ascii="Times New Roman" w:eastAsia="Times New Roman" w:hAnsi="Times New Roman" w:cs="Calibri"/>
          <w:color w:val="000000"/>
          <w:sz w:val="24"/>
          <w:szCs w:val="24"/>
          <w:lang w:eastAsia="ru-RU"/>
        </w:rPr>
        <w:t xml:space="preserve"> 18,9 тыс. рублей, на укрепление пожарной безоп</w:t>
      </w:r>
      <w:r w:rsidR="003F0D55">
        <w:rPr>
          <w:rFonts w:ascii="Times New Roman" w:eastAsia="Times New Roman" w:hAnsi="Times New Roman" w:cs="Calibri"/>
          <w:color w:val="000000"/>
          <w:sz w:val="24"/>
          <w:szCs w:val="24"/>
          <w:lang w:eastAsia="ru-RU"/>
        </w:rPr>
        <w:t>асности в сумме 234 тыс. рублей</w:t>
      </w:r>
      <w:r w:rsidRPr="005277B3">
        <w:rPr>
          <w:rFonts w:ascii="Times New Roman" w:eastAsia="Times New Roman" w:hAnsi="Times New Roman" w:cs="Calibri"/>
          <w:color w:val="000000"/>
          <w:sz w:val="24"/>
          <w:szCs w:val="24"/>
          <w:lang w:eastAsia="ru-RU"/>
        </w:rPr>
        <w:t xml:space="preserve">. Из областного бюджета на расходы по пожарной безопасности израсходовали 52 тыс. рублей, на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по ним израсходовано 2,7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Национальная экономика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"Национальная экономика" в 2023 году составили 1</w:t>
      </w:r>
      <w:r w:rsidR="003F0D55">
        <w:rPr>
          <w:rFonts w:ascii="Times New Roman" w:eastAsia="Times New Roman" w:hAnsi="Times New Roman" w:cs="Calibri"/>
          <w:color w:val="000000"/>
          <w:sz w:val="24"/>
          <w:szCs w:val="24"/>
          <w:lang w:eastAsia="ru-RU"/>
        </w:rPr>
        <w:t>4</w:t>
      </w:r>
      <w:r w:rsidRPr="005277B3">
        <w:rPr>
          <w:rFonts w:ascii="Times New Roman" w:eastAsia="Times New Roman" w:hAnsi="Times New Roman" w:cs="Calibri"/>
          <w:color w:val="000000"/>
          <w:sz w:val="24"/>
          <w:szCs w:val="24"/>
          <w:lang w:eastAsia="ru-RU"/>
        </w:rPr>
        <w:t xml:space="preserve"> 0</w:t>
      </w:r>
      <w:r w:rsidR="003F0D55">
        <w:rPr>
          <w:rFonts w:ascii="Times New Roman" w:eastAsia="Times New Roman" w:hAnsi="Times New Roman" w:cs="Calibri"/>
          <w:color w:val="000000"/>
          <w:sz w:val="24"/>
          <w:szCs w:val="24"/>
          <w:lang w:eastAsia="ru-RU"/>
        </w:rPr>
        <w:t>70</w:t>
      </w:r>
      <w:r w:rsidRPr="005277B3">
        <w:rPr>
          <w:rFonts w:ascii="Times New Roman" w:eastAsia="Times New Roman" w:hAnsi="Times New Roman" w:cs="Calibri"/>
          <w:color w:val="000000"/>
          <w:sz w:val="24"/>
          <w:szCs w:val="24"/>
          <w:lang w:eastAsia="ru-RU"/>
        </w:rPr>
        <w:t xml:space="preserve">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Из областного бюджета произведено финансирование на реализацию мероприятий по ликвидации очагов сорного растения борщевик Сосновск</w:t>
      </w:r>
      <w:r w:rsidR="003F0D55">
        <w:rPr>
          <w:rFonts w:ascii="Times New Roman" w:eastAsia="Times New Roman" w:hAnsi="Times New Roman" w:cs="Calibri"/>
          <w:color w:val="000000"/>
          <w:sz w:val="24"/>
          <w:szCs w:val="24"/>
          <w:lang w:eastAsia="ru-RU"/>
        </w:rPr>
        <w:t xml:space="preserve">ого в сумме 120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Финансирование мероприятий в области автомобильного транспорта в сумме 50,8 тыс. рублей: за счет субсидии из областного бюджета на перевозки обучающихся и сопровождающих лиц на внеклассные мероприятия из областного бюджета 50,8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На дорожное хозяйство израсходовано 1</w:t>
      </w:r>
      <w:r w:rsidR="003F0D55">
        <w:rPr>
          <w:rFonts w:ascii="Times New Roman" w:eastAsia="Times New Roman" w:hAnsi="Times New Roman" w:cs="Calibri"/>
          <w:color w:val="000000"/>
          <w:sz w:val="24"/>
          <w:szCs w:val="24"/>
          <w:lang w:eastAsia="ru-RU"/>
        </w:rPr>
        <w:t>3</w:t>
      </w:r>
      <w:r w:rsidRPr="005277B3">
        <w:rPr>
          <w:rFonts w:ascii="Times New Roman" w:eastAsia="Times New Roman" w:hAnsi="Times New Roman" w:cs="Calibri"/>
          <w:color w:val="000000"/>
          <w:sz w:val="24"/>
          <w:szCs w:val="24"/>
          <w:lang w:eastAsia="ru-RU"/>
        </w:rPr>
        <w:t xml:space="preserve"> 8</w:t>
      </w:r>
      <w:r w:rsidR="003F0D55">
        <w:rPr>
          <w:rFonts w:ascii="Times New Roman" w:eastAsia="Times New Roman" w:hAnsi="Times New Roman" w:cs="Calibri"/>
          <w:color w:val="000000"/>
          <w:sz w:val="24"/>
          <w:szCs w:val="24"/>
          <w:lang w:eastAsia="ru-RU"/>
        </w:rPr>
        <w:t>97</w:t>
      </w:r>
      <w:r w:rsidRPr="005277B3">
        <w:rPr>
          <w:rFonts w:ascii="Times New Roman" w:eastAsia="Times New Roman" w:hAnsi="Times New Roman" w:cs="Calibri"/>
          <w:color w:val="000000"/>
          <w:sz w:val="24"/>
          <w:szCs w:val="24"/>
          <w:lang w:eastAsia="ru-RU"/>
        </w:rPr>
        <w:t>,</w:t>
      </w:r>
      <w:r w:rsidR="003F0D55">
        <w:rPr>
          <w:rFonts w:ascii="Times New Roman" w:eastAsia="Times New Roman" w:hAnsi="Times New Roman" w:cs="Calibri"/>
          <w:color w:val="000000"/>
          <w:sz w:val="24"/>
          <w:szCs w:val="24"/>
          <w:lang w:eastAsia="ru-RU"/>
        </w:rPr>
        <w:t>3</w:t>
      </w:r>
      <w:r w:rsidRPr="005277B3">
        <w:rPr>
          <w:rFonts w:ascii="Times New Roman" w:eastAsia="Times New Roman" w:hAnsi="Times New Roman" w:cs="Calibri"/>
          <w:color w:val="000000"/>
          <w:sz w:val="24"/>
          <w:szCs w:val="24"/>
          <w:lang w:eastAsia="ru-RU"/>
        </w:rPr>
        <w:t xml:space="preserve"> тыс. рублей, в том числе на дорожную деятельность в отношении автомобильных дорог местного значения вне границ населенных пунктов в границах муниципального района израсходовано на сумму 5 878,2 тыс. рублей, на капитальный ремонт и ремонт дворовых территорий из областного бюджета израсходовано 7 938,8 тыс. рублей,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к ним 80,2 тыс. рублей.</w:t>
      </w:r>
      <w:proofErr w:type="gramEnd"/>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другие вопросы в области национальной экономики профинансировано 1,9 тыс. рублей, из них из местного бюджета на проведение информационных и </w:t>
      </w:r>
      <w:proofErr w:type="spellStart"/>
      <w:r w:rsidRPr="005277B3">
        <w:rPr>
          <w:rFonts w:ascii="Times New Roman" w:eastAsia="Times New Roman" w:hAnsi="Times New Roman" w:cs="Calibri"/>
          <w:color w:val="000000"/>
          <w:sz w:val="24"/>
          <w:szCs w:val="24"/>
          <w:lang w:eastAsia="ru-RU"/>
        </w:rPr>
        <w:t>выстовочно-ярмарочных</w:t>
      </w:r>
      <w:proofErr w:type="spellEnd"/>
      <w:r w:rsidRPr="005277B3">
        <w:rPr>
          <w:rFonts w:ascii="Times New Roman" w:eastAsia="Times New Roman" w:hAnsi="Times New Roman" w:cs="Calibri"/>
          <w:color w:val="000000"/>
          <w:sz w:val="24"/>
          <w:szCs w:val="24"/>
          <w:lang w:eastAsia="ru-RU"/>
        </w:rPr>
        <w:t xml:space="preserve"> мероприятий израсходовано 1,9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Жилищно-коммунальное хозяйство</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w:t>
      </w:r>
      <w:proofErr w:type="spellStart"/>
      <w:proofErr w:type="gramStart"/>
      <w:r w:rsidRPr="005277B3">
        <w:rPr>
          <w:rFonts w:ascii="Times New Roman" w:eastAsia="Times New Roman" w:hAnsi="Times New Roman" w:cs="Calibri"/>
          <w:color w:val="000000"/>
          <w:sz w:val="24"/>
          <w:szCs w:val="24"/>
          <w:lang w:eastAsia="ru-RU"/>
        </w:rPr>
        <w:t>Жилищно</w:t>
      </w:r>
      <w:proofErr w:type="spellEnd"/>
      <w:r w:rsidRPr="005277B3">
        <w:rPr>
          <w:rFonts w:ascii="Times New Roman" w:eastAsia="Times New Roman" w:hAnsi="Times New Roman" w:cs="Calibri"/>
          <w:color w:val="000000"/>
          <w:sz w:val="24"/>
          <w:szCs w:val="24"/>
          <w:lang w:eastAsia="ru-RU"/>
        </w:rPr>
        <w:t xml:space="preserve"> - коммунальное</w:t>
      </w:r>
      <w:proofErr w:type="gramEnd"/>
      <w:r w:rsidRPr="005277B3">
        <w:rPr>
          <w:rFonts w:ascii="Times New Roman" w:eastAsia="Times New Roman" w:hAnsi="Times New Roman" w:cs="Calibri"/>
          <w:color w:val="000000"/>
          <w:sz w:val="24"/>
          <w:szCs w:val="24"/>
          <w:lang w:eastAsia="ru-RU"/>
        </w:rPr>
        <w:t xml:space="preserve"> хо</w:t>
      </w:r>
      <w:r w:rsidR="003F0D55">
        <w:rPr>
          <w:rFonts w:ascii="Times New Roman" w:eastAsia="Times New Roman" w:hAnsi="Times New Roman" w:cs="Calibri"/>
          <w:color w:val="000000"/>
          <w:sz w:val="24"/>
          <w:szCs w:val="24"/>
          <w:lang w:eastAsia="ru-RU"/>
        </w:rPr>
        <w:t>зяйство" в 2023 году составили 6 544,4</w:t>
      </w:r>
      <w:r w:rsidRPr="005277B3">
        <w:rPr>
          <w:rFonts w:ascii="Times New Roman" w:eastAsia="Times New Roman" w:hAnsi="Times New Roman" w:cs="Calibri"/>
          <w:color w:val="000000"/>
          <w:sz w:val="24"/>
          <w:szCs w:val="24"/>
          <w:lang w:eastAsia="ru-RU"/>
        </w:rPr>
        <w:t xml:space="preserve">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на жилищное хозяйство составил 596,1 тыс. рублей, в том числе на расходы по капитальному ремонту жилого фонда из местного бюджета 596,1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Расходы на коммунальное хозяйство составили в сумме 2 763,9 тыс. рублей, в том числе на выполнение мероприятий в области коммунального хозяйства из районного бюджета на приобретение котлов для котельных 2 180,1 тыс. рублей, на оплату взносов на капремонт 462,9 тыс. рублей, на мероприятия по энергосбережению в сумме 82,5 тыс. рублей, из резервного фонда района 38,4 тыс. рублей.</w:t>
      </w:r>
      <w:proofErr w:type="gramEnd"/>
    </w:p>
    <w:p w:rsidR="005277B3" w:rsidRPr="005277B3" w:rsidRDefault="005277B3" w:rsidP="00DF6601">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на благо</w:t>
      </w:r>
      <w:r w:rsidR="003F0D55">
        <w:rPr>
          <w:rFonts w:ascii="Times New Roman" w:eastAsia="Times New Roman" w:hAnsi="Times New Roman" w:cs="Calibri"/>
          <w:color w:val="000000"/>
          <w:sz w:val="24"/>
          <w:szCs w:val="24"/>
          <w:lang w:eastAsia="ru-RU"/>
        </w:rPr>
        <w:t>устройство произведены в сумме 31</w:t>
      </w:r>
      <w:r w:rsidRPr="005277B3">
        <w:rPr>
          <w:rFonts w:ascii="Times New Roman" w:eastAsia="Times New Roman" w:hAnsi="Times New Roman" w:cs="Calibri"/>
          <w:color w:val="000000"/>
          <w:sz w:val="24"/>
          <w:szCs w:val="24"/>
          <w:lang w:eastAsia="ru-RU"/>
        </w:rPr>
        <w:t>8</w:t>
      </w:r>
      <w:r w:rsidR="003F0D55">
        <w:rPr>
          <w:rFonts w:ascii="Times New Roman" w:eastAsia="Times New Roman" w:hAnsi="Times New Roman" w:cs="Calibri"/>
          <w:color w:val="000000"/>
          <w:sz w:val="24"/>
          <w:szCs w:val="24"/>
          <w:lang w:eastAsia="ru-RU"/>
        </w:rPr>
        <w:t>4</w:t>
      </w:r>
      <w:r w:rsidRPr="005277B3">
        <w:rPr>
          <w:rFonts w:ascii="Times New Roman" w:eastAsia="Times New Roman" w:hAnsi="Times New Roman" w:cs="Calibri"/>
          <w:color w:val="000000"/>
          <w:sz w:val="24"/>
          <w:szCs w:val="24"/>
          <w:lang w:eastAsia="ru-RU"/>
        </w:rPr>
        <w:t>,4 тысяч рублей. Из бюджета района израсходовано 2639,3 тыс. рублей, в том числе на поддержку государственных субъектов РФ и муниципальных программ формирования современной городской среды 1 710 тыс. рублей, в том числе из федерального бюджета 1 692,9 тыс. рублей, из областного бюджета в сумме 17,1 тыс. рублей; из областного бюджета израсходовано в сфере увековечения памяти погибших при защите Отечества в сумме 29,3 тыс. рублей; из резервного фонда Правительства области выделено 500 тыс. рублей на прио</w:t>
      </w:r>
      <w:r w:rsidR="003F0D55">
        <w:rPr>
          <w:rFonts w:ascii="Times New Roman" w:eastAsia="Times New Roman" w:hAnsi="Times New Roman" w:cs="Calibri"/>
          <w:color w:val="000000"/>
          <w:sz w:val="24"/>
          <w:szCs w:val="24"/>
          <w:lang w:eastAsia="ru-RU"/>
        </w:rPr>
        <w:t>бретение контейнеров для мусора;</w:t>
      </w:r>
      <w:r w:rsidR="005621E2">
        <w:rPr>
          <w:rFonts w:ascii="Times New Roman" w:eastAsia="Times New Roman" w:hAnsi="Times New Roman" w:cs="Calibri"/>
          <w:color w:val="000000"/>
          <w:sz w:val="24"/>
          <w:szCs w:val="24"/>
          <w:lang w:eastAsia="ru-RU"/>
        </w:rPr>
        <w:t xml:space="preserve"> </w:t>
      </w:r>
      <w:r w:rsidRPr="005277B3">
        <w:rPr>
          <w:rFonts w:ascii="Times New Roman" w:eastAsia="Times New Roman" w:hAnsi="Times New Roman" w:cs="Calibri"/>
          <w:color w:val="000000"/>
          <w:sz w:val="24"/>
          <w:szCs w:val="24"/>
          <w:lang w:eastAsia="ru-RU"/>
        </w:rPr>
        <w:t xml:space="preserve">на прочие мероприятия по благоустройству </w:t>
      </w:r>
      <w:r w:rsidR="003F0D55">
        <w:rPr>
          <w:rFonts w:ascii="Times New Roman" w:eastAsia="Times New Roman" w:hAnsi="Times New Roman" w:cs="Calibri"/>
          <w:color w:val="000000"/>
          <w:sz w:val="24"/>
          <w:szCs w:val="24"/>
          <w:lang w:eastAsia="ru-RU"/>
        </w:rPr>
        <w:t xml:space="preserve">из дотации по сбалансированности </w:t>
      </w:r>
      <w:r w:rsidRPr="005277B3">
        <w:rPr>
          <w:rFonts w:ascii="Times New Roman" w:eastAsia="Times New Roman" w:hAnsi="Times New Roman" w:cs="Calibri"/>
          <w:color w:val="000000"/>
          <w:sz w:val="24"/>
          <w:szCs w:val="24"/>
          <w:lang w:eastAsia="ru-RU"/>
        </w:rPr>
        <w:t xml:space="preserve">потрачено 400 тыс. </w:t>
      </w:r>
      <w:r w:rsidR="003F0D55">
        <w:rPr>
          <w:rFonts w:ascii="Times New Roman" w:eastAsia="Times New Roman" w:hAnsi="Times New Roman" w:cs="Calibri"/>
          <w:color w:val="000000"/>
          <w:sz w:val="24"/>
          <w:szCs w:val="24"/>
          <w:lang w:eastAsia="ru-RU"/>
        </w:rPr>
        <w:t xml:space="preserve">рублей на приобретение фонтана; </w:t>
      </w:r>
      <w:proofErr w:type="gramStart"/>
      <w:r w:rsidRPr="005277B3">
        <w:rPr>
          <w:rFonts w:ascii="Times New Roman" w:eastAsia="Times New Roman" w:hAnsi="Times New Roman" w:cs="Calibri"/>
          <w:color w:val="000000"/>
          <w:sz w:val="24"/>
          <w:szCs w:val="24"/>
          <w:lang w:eastAsia="ru-RU"/>
        </w:rPr>
        <w:t xml:space="preserve">на обустройство и восстановление воинских захоронений  в сумме 255,1 тыс. рублей, из них </w:t>
      </w:r>
      <w:r w:rsidRPr="005277B3">
        <w:rPr>
          <w:rFonts w:ascii="Times New Roman" w:eastAsia="Times New Roman" w:hAnsi="Times New Roman" w:cs="Calibri"/>
          <w:color w:val="000000"/>
          <w:sz w:val="24"/>
          <w:szCs w:val="24"/>
          <w:lang w:eastAsia="ru-RU"/>
        </w:rPr>
        <w:lastRenderedPageBreak/>
        <w:t>из федерального бюджета 250 тыс. рублей, из областного бюджета 2,5 тыс. рублей, из местного бюджета 2,5 тыс. рублей; на поддержку проектов территориального общественного самоуправления в с</w:t>
      </w:r>
      <w:r w:rsidR="003F0D55">
        <w:rPr>
          <w:rFonts w:ascii="Times New Roman" w:eastAsia="Times New Roman" w:hAnsi="Times New Roman" w:cs="Calibri"/>
          <w:color w:val="000000"/>
          <w:sz w:val="24"/>
          <w:szCs w:val="24"/>
          <w:lang w:eastAsia="ru-RU"/>
        </w:rPr>
        <w:t>умме 290 тыс. рублей, на проч</w:t>
      </w:r>
      <w:r w:rsidRPr="005277B3">
        <w:rPr>
          <w:rFonts w:ascii="Times New Roman" w:eastAsia="Times New Roman" w:hAnsi="Times New Roman" w:cs="Calibri"/>
          <w:color w:val="000000"/>
          <w:sz w:val="24"/>
          <w:szCs w:val="24"/>
          <w:lang w:eastAsia="ru-RU"/>
        </w:rPr>
        <w:t xml:space="preserve">ие расходы по благоустройству 7 128,8 тыс. рублей. </w:t>
      </w:r>
      <w:proofErr w:type="gramEnd"/>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Охрана окружающей среды</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за 2023 год при плане </w:t>
      </w:r>
      <w:r w:rsidR="0054681F">
        <w:rPr>
          <w:rFonts w:ascii="Times New Roman" w:eastAsia="Times New Roman" w:hAnsi="Times New Roman" w:cs="Calibri"/>
          <w:color w:val="000000"/>
          <w:sz w:val="24"/>
          <w:szCs w:val="24"/>
          <w:lang w:eastAsia="ru-RU"/>
        </w:rPr>
        <w:t>9 307,5</w:t>
      </w:r>
      <w:r w:rsidRPr="005277B3">
        <w:rPr>
          <w:rFonts w:ascii="Times New Roman" w:eastAsia="Times New Roman" w:hAnsi="Times New Roman" w:cs="Calibri"/>
          <w:color w:val="000000"/>
          <w:sz w:val="24"/>
          <w:szCs w:val="24"/>
          <w:lang w:eastAsia="ru-RU"/>
        </w:rPr>
        <w:t xml:space="preserve"> тыс. рублей составило 473,7 тыс. рублей. Субсидии муниципальным образованиям на реализацию мероприятий по обеспечению безопасности гидротехнических сооружений освоено в сумме 401,1 тыс. рублей,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из местного бюджета составило 4 тыс. рублей, расходы на осуществление мероприятий по снижению негативного воздействия на окружающую среду составили 68,5 тыс. рублей. Уменьшение расходов от запланированных средств по охране окружающей среды произошла в связи с переносом лимитов по субсидии на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мероприятий по рекультивации объектов размещения отходов, не включенных в Государственный реестр объектов размещения отходов в сумме 8 289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Образование</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 xml:space="preserve">Исполнение по расходам за 2023 год при плане 82 976,5 тыс. рублей составило 81 145,5 тыс. рублей, в том числе израсходовано на дошкольное образование 14 144 тыс. рублей, на общее образование 55250,6 тыс. рублей, на дополнительное образование 11 014,5 тыс. рублей, на другие вопросы в области образования израсходовано 736,4 тыс. рублей. </w:t>
      </w:r>
      <w:proofErr w:type="gramEnd"/>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На дошкольное образование из местного бюджета освоено 4 919,7 тыс. рублей, из областного бюджета 9 224,3 тыс. рублей, из них по субвенции по оплате труда педагогов 8 694 тыс. рублей, на оплату коммунальных услуг работникам, проживающим и работающим в сельских населенных пунктах 193 тыс. рублей; на обеспечение и воспитание детей-инвалидов 267,4 тыс. рублей;</w:t>
      </w:r>
      <w:proofErr w:type="gramEnd"/>
      <w:r w:rsidRPr="005277B3">
        <w:rPr>
          <w:rFonts w:ascii="Times New Roman" w:eastAsia="Times New Roman" w:hAnsi="Times New Roman" w:cs="Calibri"/>
          <w:color w:val="000000"/>
          <w:sz w:val="24"/>
          <w:szCs w:val="24"/>
          <w:lang w:eastAsia="ru-RU"/>
        </w:rPr>
        <w:t xml:space="preserve"> по созданию условий для осуществления и присмотра детей-инвалидов 69,9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общее образование по местному бюджету израсходовано 14 189,9 тыс. рублей, в том числе на проведение системных мероприятий по противодействию терроризму: на установку </w:t>
      </w:r>
      <w:proofErr w:type="spellStart"/>
      <w:r w:rsidRPr="005277B3">
        <w:rPr>
          <w:rFonts w:ascii="Times New Roman" w:eastAsia="Times New Roman" w:hAnsi="Times New Roman" w:cs="Calibri"/>
          <w:color w:val="000000"/>
          <w:sz w:val="24"/>
          <w:szCs w:val="24"/>
          <w:lang w:eastAsia="ru-RU"/>
        </w:rPr>
        <w:t>домофонов</w:t>
      </w:r>
      <w:proofErr w:type="spellEnd"/>
      <w:r w:rsidRPr="005277B3">
        <w:rPr>
          <w:rFonts w:ascii="Times New Roman" w:eastAsia="Times New Roman" w:hAnsi="Times New Roman" w:cs="Calibri"/>
          <w:color w:val="000000"/>
          <w:sz w:val="24"/>
          <w:szCs w:val="24"/>
          <w:lang w:eastAsia="ru-RU"/>
        </w:rPr>
        <w:t xml:space="preserve"> и видеонаблюдения на территории спортивной площадки общеобразовательных учреждений потрачено 116,9 тыс. рублей. На организацию горячего питания обучающих израсходовано 2 007,4 тыс. рублей, их них 1 967,4 тыс. рублей из федерального бюджета 19,9 тыс. рублей, из местного бюджета 20 тыс. рублей; на классное руководство выделено из областного бюджета 340,3 тыс. рублей; из федерального бюджета 2 896,5 тыс. рублей; </w:t>
      </w:r>
      <w:proofErr w:type="gramStart"/>
      <w:r w:rsidRPr="005277B3">
        <w:rPr>
          <w:rFonts w:ascii="Times New Roman" w:eastAsia="Times New Roman" w:hAnsi="Times New Roman" w:cs="Calibri"/>
          <w:color w:val="000000"/>
          <w:sz w:val="24"/>
          <w:szCs w:val="24"/>
          <w:lang w:eastAsia="ru-RU"/>
        </w:rPr>
        <w:t>на реализацию основных общеобразовательных программ в части финансирования расходов на оплату труда, расходов, обеспечивающих организацию учебного процесса в учреждениях 34 081 тыс. рублей; из областного бюджета на оплату коммунальных услуг работникам, проживающим и работающим в сельских населенных пунктах 586 тыс. рублей; на совершенствование организации питания учащихся в общеобразовательных учреждениях 958,4  тыс. рублей;</w:t>
      </w:r>
      <w:proofErr w:type="gramEnd"/>
      <w:r w:rsidRPr="005277B3">
        <w:rPr>
          <w:rFonts w:ascii="Times New Roman" w:eastAsia="Times New Roman" w:hAnsi="Times New Roman" w:cs="Calibri"/>
          <w:color w:val="000000"/>
          <w:sz w:val="24"/>
          <w:szCs w:val="24"/>
          <w:lang w:eastAsia="ru-RU"/>
        </w:rPr>
        <w:t xml:space="preserve"> </w:t>
      </w:r>
      <w:proofErr w:type="gramStart"/>
      <w:r w:rsidRPr="005277B3">
        <w:rPr>
          <w:rFonts w:ascii="Times New Roman" w:eastAsia="Times New Roman" w:hAnsi="Times New Roman" w:cs="Calibri"/>
          <w:color w:val="000000"/>
          <w:sz w:val="24"/>
          <w:szCs w:val="24"/>
          <w:lang w:eastAsia="ru-RU"/>
        </w:rPr>
        <w:t>расходы на предоставление педагогическим работникам отдельных мер социальной поддержки 110 тыс. рублей;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81,1 тыс. рублей, в том числе из федерального бюджета 80,2 тыс. рублей, из областного 0,8 тыс. рублей.</w:t>
      </w:r>
      <w:proofErr w:type="gramEnd"/>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дополнительное образование детей израсходовано из местного бюджета 10 122,2 тыс. рублей, в том числе на проведение системных мероприятий по противодействию терроризму: на установку </w:t>
      </w:r>
      <w:proofErr w:type="spellStart"/>
      <w:r w:rsidRPr="005277B3">
        <w:rPr>
          <w:rFonts w:ascii="Times New Roman" w:eastAsia="Times New Roman" w:hAnsi="Times New Roman" w:cs="Calibri"/>
          <w:color w:val="000000"/>
          <w:sz w:val="24"/>
          <w:szCs w:val="24"/>
          <w:lang w:eastAsia="ru-RU"/>
        </w:rPr>
        <w:t>домофонов</w:t>
      </w:r>
      <w:proofErr w:type="spellEnd"/>
      <w:r w:rsidRPr="005277B3">
        <w:rPr>
          <w:rFonts w:ascii="Times New Roman" w:eastAsia="Times New Roman" w:hAnsi="Times New Roman" w:cs="Calibri"/>
          <w:color w:val="000000"/>
          <w:sz w:val="24"/>
          <w:szCs w:val="24"/>
          <w:lang w:eastAsia="ru-RU"/>
        </w:rPr>
        <w:t xml:space="preserve"> в доме детского творчества 69,2 тыс. рублей. По субвенции на реализацию дополнительного образования детей и обучение их шахматной грамоте в муниципальных образовательных учреждениях из областного </w:t>
      </w:r>
      <w:r w:rsidRPr="005277B3">
        <w:rPr>
          <w:rFonts w:ascii="Times New Roman" w:eastAsia="Times New Roman" w:hAnsi="Times New Roman" w:cs="Calibri"/>
          <w:color w:val="000000"/>
          <w:sz w:val="24"/>
          <w:szCs w:val="24"/>
          <w:lang w:eastAsia="ru-RU"/>
        </w:rPr>
        <w:lastRenderedPageBreak/>
        <w:t>бюджета израсходовано 806 тыс. рублей, из областного бюджета на оплату коммунальных услуг работникам, проживающим и работающим в сельских населенных пунктах 86,3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другие вопросы в области образования израсходовано 736,4 тыс. рублей. Обеспечение мероприятий по расходам по молодежной политике и оздоровлению детей в сумме 273,9 тыс. рублей. Из областного бюджета на выплату компенсации педагогическим работникам за работу по проведению государственной итоговой аттестации учащихся 422 тыс. рублей. 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культурно-массовых мероприятий из областного бюджета составили 10,4 тыс. рублей,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к ним из местного бюджета 0,1 тыс. рублей. На мероприятия по проведению оздоровительной кампании детей из местного бюджета 30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Культура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roofErr w:type="gramStart"/>
      <w:r w:rsidRPr="005277B3">
        <w:rPr>
          <w:rFonts w:ascii="Times New Roman" w:eastAsia="Times New Roman" w:hAnsi="Times New Roman" w:cs="Calibri"/>
          <w:color w:val="000000"/>
          <w:sz w:val="24"/>
          <w:szCs w:val="24"/>
          <w:lang w:eastAsia="ru-RU"/>
        </w:rPr>
        <w:t xml:space="preserve">Расходы по разделу "Культура" в 2023 году при плане 18 033,3 тыс. рублей составили 17169 тыс. рублей, в том числе на обеспечение деятельности библиотек 3 563,3 тыс. рублей, на компенсацию расходов по оплате коммунальных услуг работникам библиотечного дела 280,9 тыс. рублей, на обеспечение учреждений культуры 11 441,5 тыс. рублей, на компенсацию расходов по оплате коммунальных услуг работникам </w:t>
      </w:r>
      <w:proofErr w:type="spellStart"/>
      <w:r w:rsidRPr="005277B3">
        <w:rPr>
          <w:rFonts w:ascii="Times New Roman" w:eastAsia="Times New Roman" w:hAnsi="Times New Roman" w:cs="Calibri"/>
          <w:color w:val="000000"/>
          <w:sz w:val="24"/>
          <w:szCs w:val="24"/>
          <w:lang w:eastAsia="ru-RU"/>
        </w:rPr>
        <w:t>культурно-досугового</w:t>
      </w:r>
      <w:proofErr w:type="spellEnd"/>
      <w:r w:rsidRPr="005277B3">
        <w:rPr>
          <w:rFonts w:ascii="Times New Roman" w:eastAsia="Times New Roman" w:hAnsi="Times New Roman" w:cs="Calibri"/>
          <w:color w:val="000000"/>
          <w:sz w:val="24"/>
          <w:szCs w:val="24"/>
          <w:lang w:eastAsia="ru-RU"/>
        </w:rPr>
        <w:t xml:space="preserve"> обслуживания 158</w:t>
      </w:r>
      <w:proofErr w:type="gramEnd"/>
      <w:r w:rsidRPr="005277B3">
        <w:rPr>
          <w:rFonts w:ascii="Times New Roman" w:eastAsia="Times New Roman" w:hAnsi="Times New Roman" w:cs="Calibri"/>
          <w:color w:val="000000"/>
          <w:sz w:val="24"/>
          <w:szCs w:val="24"/>
          <w:lang w:eastAsia="ru-RU"/>
        </w:rPr>
        <w:t xml:space="preserve"> тыс. рублей. Расходы по субсидии на обеспечение развития и укрепления материально-технической базы домов культуры составили 969,3 тыс. рублей, из них из федерального бюджета 950 тыс. рублей, из областного бюджета 9,6 тыс. рублей, из местного бюджета 2,5 тыс. рублей. Расходы по субсидии на развитие институтов территориального общественного самоуправления и поддержку проектов местных инициатив из областного бюджета составили 710 тыс. рублей</w:t>
      </w:r>
      <w:r w:rsidR="00144874">
        <w:rPr>
          <w:rFonts w:ascii="Times New Roman" w:eastAsia="Times New Roman" w:hAnsi="Times New Roman" w:cs="Calibri"/>
          <w:color w:val="000000"/>
          <w:sz w:val="24"/>
          <w:szCs w:val="24"/>
          <w:lang w:eastAsia="ru-RU"/>
        </w:rPr>
        <w:t xml:space="preserve"> </w:t>
      </w:r>
      <w:r w:rsidRPr="005277B3">
        <w:rPr>
          <w:rFonts w:ascii="Times New Roman" w:eastAsia="Times New Roman" w:hAnsi="Times New Roman" w:cs="Calibri"/>
          <w:color w:val="000000"/>
          <w:sz w:val="24"/>
          <w:szCs w:val="24"/>
          <w:lang w:eastAsia="ru-RU"/>
        </w:rPr>
        <w:t xml:space="preserve">и </w:t>
      </w:r>
      <w:proofErr w:type="spellStart"/>
      <w:r w:rsidRPr="005277B3">
        <w:rPr>
          <w:rFonts w:ascii="Times New Roman" w:eastAsia="Times New Roman" w:hAnsi="Times New Roman" w:cs="Calibri"/>
          <w:color w:val="000000"/>
          <w:sz w:val="24"/>
          <w:szCs w:val="24"/>
          <w:lang w:eastAsia="ru-RU"/>
        </w:rPr>
        <w:t>софинанс</w:t>
      </w:r>
      <w:r w:rsidR="0054681F">
        <w:rPr>
          <w:rFonts w:ascii="Times New Roman" w:eastAsia="Times New Roman" w:hAnsi="Times New Roman" w:cs="Calibri"/>
          <w:color w:val="000000"/>
          <w:sz w:val="24"/>
          <w:szCs w:val="24"/>
          <w:lang w:eastAsia="ru-RU"/>
        </w:rPr>
        <w:t>ирования</w:t>
      </w:r>
      <w:proofErr w:type="spellEnd"/>
      <w:r w:rsidR="0054681F">
        <w:rPr>
          <w:rFonts w:ascii="Times New Roman" w:eastAsia="Times New Roman" w:hAnsi="Times New Roman" w:cs="Calibri"/>
          <w:color w:val="000000"/>
          <w:sz w:val="24"/>
          <w:szCs w:val="24"/>
          <w:lang w:eastAsia="ru-RU"/>
        </w:rPr>
        <w:t xml:space="preserve"> к ним из местного бюдже</w:t>
      </w:r>
      <w:r w:rsidRPr="005277B3">
        <w:rPr>
          <w:rFonts w:ascii="Times New Roman" w:eastAsia="Times New Roman" w:hAnsi="Times New Roman" w:cs="Calibri"/>
          <w:color w:val="000000"/>
          <w:sz w:val="24"/>
          <w:szCs w:val="24"/>
          <w:lang w:eastAsia="ru-RU"/>
        </w:rPr>
        <w:t>та 46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Социальная политика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Расходы по разделу "Социальная политика" в 2023 году при плане </w:t>
      </w:r>
      <w:r w:rsidR="0054681F">
        <w:rPr>
          <w:rFonts w:ascii="Times New Roman" w:eastAsia="Times New Roman" w:hAnsi="Times New Roman" w:cs="Calibri"/>
          <w:color w:val="000000"/>
          <w:sz w:val="24"/>
          <w:szCs w:val="24"/>
          <w:lang w:eastAsia="ru-RU"/>
        </w:rPr>
        <w:t>2886,3</w:t>
      </w:r>
      <w:r w:rsidRPr="005277B3">
        <w:rPr>
          <w:rFonts w:ascii="Times New Roman" w:eastAsia="Times New Roman" w:hAnsi="Times New Roman" w:cs="Calibri"/>
          <w:color w:val="000000"/>
          <w:sz w:val="24"/>
          <w:szCs w:val="24"/>
          <w:lang w:eastAsia="ru-RU"/>
        </w:rPr>
        <w:t xml:space="preserve"> тыс. рублей составили </w:t>
      </w:r>
      <w:r w:rsidR="0054681F">
        <w:rPr>
          <w:rFonts w:ascii="Times New Roman" w:eastAsia="Times New Roman" w:hAnsi="Times New Roman" w:cs="Calibri"/>
          <w:color w:val="000000"/>
          <w:sz w:val="24"/>
          <w:szCs w:val="24"/>
          <w:lang w:eastAsia="ru-RU"/>
        </w:rPr>
        <w:t>2719,4</w:t>
      </w:r>
      <w:r w:rsidRPr="005277B3">
        <w:rPr>
          <w:rFonts w:ascii="Times New Roman" w:eastAsia="Times New Roman" w:hAnsi="Times New Roman" w:cs="Calibri"/>
          <w:color w:val="000000"/>
          <w:sz w:val="24"/>
          <w:szCs w:val="24"/>
          <w:lang w:eastAsia="ru-RU"/>
        </w:rPr>
        <w:t xml:space="preserve"> тыс. рублей, из них доплаты к п</w:t>
      </w:r>
      <w:r w:rsidR="0054681F">
        <w:rPr>
          <w:rFonts w:ascii="Times New Roman" w:eastAsia="Times New Roman" w:hAnsi="Times New Roman" w:cs="Calibri"/>
          <w:color w:val="000000"/>
          <w:sz w:val="24"/>
          <w:szCs w:val="24"/>
          <w:lang w:eastAsia="ru-RU"/>
        </w:rPr>
        <w:t>енсиям из местного бюджета 920,3</w:t>
      </w:r>
      <w:r w:rsidRPr="005277B3">
        <w:rPr>
          <w:rFonts w:ascii="Times New Roman" w:eastAsia="Times New Roman" w:hAnsi="Times New Roman" w:cs="Calibri"/>
          <w:color w:val="000000"/>
          <w:sz w:val="24"/>
          <w:szCs w:val="24"/>
          <w:lang w:eastAsia="ru-RU"/>
        </w:rPr>
        <w:t xml:space="preserve"> тыс. рублей, из обла</w:t>
      </w:r>
      <w:r w:rsidR="0054681F">
        <w:rPr>
          <w:rFonts w:ascii="Times New Roman" w:eastAsia="Times New Roman" w:hAnsi="Times New Roman" w:cs="Calibri"/>
          <w:color w:val="000000"/>
          <w:sz w:val="24"/>
          <w:szCs w:val="24"/>
          <w:lang w:eastAsia="ru-RU"/>
        </w:rPr>
        <w:t>стного бюджета 43,2 тыс. рублей</w:t>
      </w:r>
      <w:r w:rsidRPr="005277B3">
        <w:rPr>
          <w:rFonts w:ascii="Times New Roman" w:eastAsia="Times New Roman" w:hAnsi="Times New Roman" w:cs="Calibri"/>
          <w:color w:val="000000"/>
          <w:sz w:val="24"/>
          <w:szCs w:val="24"/>
          <w:lang w:eastAsia="ru-RU"/>
        </w:rPr>
        <w:t xml:space="preserve">. Из резервного фонда выделено 25 тыс. рублей на социальную помощь населению, из областного бюджета израсходовано 228,8 тыс. рублей. Компенсация части родительской платы 623,3 тыс. рублей. </w:t>
      </w:r>
      <w:proofErr w:type="gramStart"/>
      <w:r w:rsidRPr="005277B3">
        <w:rPr>
          <w:rFonts w:ascii="Times New Roman" w:eastAsia="Times New Roman" w:hAnsi="Times New Roman" w:cs="Calibri"/>
          <w:color w:val="000000"/>
          <w:sz w:val="24"/>
          <w:szCs w:val="24"/>
          <w:lang w:eastAsia="ru-RU"/>
        </w:rPr>
        <w:t>Расходы по субвенции на обеспечение жилыми помещениями детей-сирот и детей, оставшихся без попечения родителей на покупку квартир 868,8 тыс. рублей, в том числе из федерального бюджета 860,1 тыс. рублей, из областного 8,7 тыс. рублей.</w:t>
      </w:r>
      <w:proofErr w:type="gramEnd"/>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Физическая культура и спорт</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за 2023 год составило 1258,1 тыс. рублей, в том числе из местного бюджета 759,5 тыс. рублей; из областного бюджета на мероприятия связанные с участием спортсменов в официальных спортивных и физкультурных мероприятиях области 211 тыс. рублей и </w:t>
      </w:r>
      <w:proofErr w:type="spellStart"/>
      <w:r w:rsidRPr="005277B3">
        <w:rPr>
          <w:rFonts w:ascii="Times New Roman" w:eastAsia="Times New Roman" w:hAnsi="Times New Roman" w:cs="Calibri"/>
          <w:color w:val="000000"/>
          <w:sz w:val="24"/>
          <w:szCs w:val="24"/>
          <w:lang w:eastAsia="ru-RU"/>
        </w:rPr>
        <w:t>софинансирования</w:t>
      </w:r>
      <w:proofErr w:type="spellEnd"/>
      <w:r w:rsidRPr="005277B3">
        <w:rPr>
          <w:rFonts w:ascii="Times New Roman" w:eastAsia="Times New Roman" w:hAnsi="Times New Roman" w:cs="Calibri"/>
          <w:color w:val="000000"/>
          <w:sz w:val="24"/>
          <w:szCs w:val="24"/>
          <w:lang w:eastAsia="ru-RU"/>
        </w:rPr>
        <w:t xml:space="preserve"> к ним 2 тыс. рублей из местного бюджета; выделено средства из резервного фонда Администрации Правительства области на подготовку основания спортивной площадки ГТО в сумме 285,6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Межбюджетные трансферты</w:t>
      </w:r>
    </w:p>
    <w:p w:rsidR="00A14F9B"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В рамках межбюджетных отношений из муниципального района поселениям предоставлена дотация в сумме 2 194 тыс. рублей и </w:t>
      </w:r>
      <w:proofErr w:type="spellStart"/>
      <w:r w:rsidRPr="005277B3">
        <w:rPr>
          <w:rFonts w:ascii="Times New Roman" w:eastAsia="Times New Roman" w:hAnsi="Times New Roman" w:cs="Calibri"/>
          <w:color w:val="000000"/>
          <w:sz w:val="24"/>
          <w:szCs w:val="24"/>
          <w:lang w:eastAsia="ru-RU"/>
        </w:rPr>
        <w:t>софинансирование</w:t>
      </w:r>
      <w:proofErr w:type="spellEnd"/>
      <w:r w:rsidRPr="005277B3">
        <w:rPr>
          <w:rFonts w:ascii="Times New Roman" w:eastAsia="Times New Roman" w:hAnsi="Times New Roman" w:cs="Calibri"/>
          <w:color w:val="000000"/>
          <w:sz w:val="24"/>
          <w:szCs w:val="24"/>
          <w:lang w:eastAsia="ru-RU"/>
        </w:rPr>
        <w:t xml:space="preserve"> к ним 21,1 тыс. рублей. На межбюджетные трансферты, передаваемые бюджетам поселений на содержание объектов водоснабжения 942 тыс. рублей; межбюджетные трансферты, передаваемые району из поселений на дорожную деятельность в сумме 68,1 тыс. рублей.</w:t>
      </w:r>
    </w:p>
    <w:p w:rsidR="00A14F9B" w:rsidRDefault="00A14F9B"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Структура расходов муниципального образования «</w:t>
      </w:r>
      <w:proofErr w:type="spellStart"/>
      <w:r w:rsidRPr="00BB27C5">
        <w:rPr>
          <w:rFonts w:ascii="Times New Roman" w:eastAsia="Times New Roman" w:hAnsi="Times New Roman" w:cs="Calibri"/>
          <w:color w:val="000000"/>
          <w:sz w:val="24"/>
          <w:szCs w:val="24"/>
          <w:lang w:eastAsia="ru-RU"/>
        </w:rPr>
        <w:t>Красногородский</w:t>
      </w:r>
      <w:proofErr w:type="spellEnd"/>
      <w:r w:rsidRPr="00BB27C5">
        <w:rPr>
          <w:rFonts w:ascii="Times New Roman" w:eastAsia="Times New Roman" w:hAnsi="Times New Roman" w:cs="Calibri"/>
          <w:color w:val="000000"/>
          <w:sz w:val="24"/>
          <w:szCs w:val="24"/>
          <w:lang w:eastAsia="ru-RU"/>
        </w:rPr>
        <w:t xml:space="preserve"> район» </w:t>
      </w:r>
    </w:p>
    <w:p w:rsidR="00A14F9B" w:rsidRDefault="00A14F9B"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tbl>
      <w:tblPr>
        <w:tblW w:w="8100" w:type="dxa"/>
        <w:tblInd w:w="-5" w:type="dxa"/>
        <w:tblLook w:val="04A0"/>
      </w:tblPr>
      <w:tblGrid>
        <w:gridCol w:w="3820"/>
        <w:gridCol w:w="1369"/>
        <w:gridCol w:w="1480"/>
        <w:gridCol w:w="1440"/>
      </w:tblGrid>
      <w:tr w:rsidR="00A14F9B" w:rsidRPr="00A14F9B" w:rsidTr="00A14F9B">
        <w:trPr>
          <w:trHeight w:val="300"/>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Утверждено</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Исполнено</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 xml:space="preserve">%  </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Расходы бюджета - ИТОГО</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176 327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160 446</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90,99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в том числе:</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 </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35 093</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33 085</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94,28</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ОБОРОНА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517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517</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100,00</w:t>
            </w:r>
          </w:p>
        </w:tc>
      </w:tr>
      <w:tr w:rsidR="00A14F9B" w:rsidRPr="00A14F9B" w:rsidTr="00A14F9B">
        <w:trPr>
          <w:trHeight w:val="12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316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308</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97,47</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ЭКОНОМИКА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15 646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14070</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89,93</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ЖИЛИЩНО-КОММУНАЛЬНОЕ ХОЗЯЙСТВО</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7 127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5 544</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77,79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ОХРАНА ОКРУЖАЮЩЕЙ СРЕДЫ</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9308</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474</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5,09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ОБРАЗОВАНИЕ</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82 976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81 145</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97,79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КУЛЬТУРА, КИНЕМАТОГРАФИЯ</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118 033</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17 169</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14,55</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2 886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2 719</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94,21</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ФИЗИЧЕСКАЯ КУЛЬТУРА И СПОРТ</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1267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1258</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99,29</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xml:space="preserve">МЕЖБЮДЖЕТНЫЕ ТРАНСФЕРТЫ ОБЩЕГО ХАРАКТЕРА </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3 157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3 157</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100,00</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xml:space="preserve">Результат исполнения бюджета (дефицит / </w:t>
            </w:r>
            <w:proofErr w:type="spellStart"/>
            <w:r w:rsidRPr="00A14F9B">
              <w:rPr>
                <w:rFonts w:ascii="Times New Roman" w:eastAsia="Times New Roman" w:hAnsi="Times New Roman" w:cs="Times New Roman"/>
                <w:color w:val="000000"/>
                <w:lang w:eastAsia="ru-RU"/>
              </w:rPr>
              <w:t>профицит</w:t>
            </w:r>
            <w:proofErr w:type="spellEnd"/>
            <w:r w:rsidRPr="00A14F9B">
              <w:rPr>
                <w:rFonts w:ascii="Times New Roman" w:eastAsia="Times New Roman" w:hAnsi="Times New Roman" w:cs="Times New Roman"/>
                <w:color w:val="000000"/>
                <w:lang w:eastAsia="ru-RU"/>
              </w:rPr>
              <w:t>)</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-1 946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3 320</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-170,61</w:t>
            </w:r>
          </w:p>
        </w:tc>
      </w:tr>
    </w:tbl>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 </w:t>
      </w:r>
    </w:p>
    <w:p w:rsidR="00A14F9B" w:rsidRDefault="00A14F9B" w:rsidP="00BB27C5">
      <w:pPr>
        <w:autoSpaceDE w:val="0"/>
        <w:autoSpaceDN w:val="0"/>
        <w:adjustRightInd w:val="0"/>
        <w:spacing w:after="0" w:line="240" w:lineRule="auto"/>
        <w:ind w:firstLine="360"/>
        <w:jc w:val="both"/>
        <w:rPr>
          <w:rFonts w:ascii="Times New Roman" w:eastAsia="Times New Roman" w:hAnsi="Times New Roman" w:cs="Calibri"/>
          <w:color w:val="000000"/>
          <w:sz w:val="24"/>
          <w:szCs w:val="24"/>
          <w:lang w:eastAsia="ru-RU"/>
        </w:rPr>
      </w:pPr>
      <w:r>
        <w:rPr>
          <w:noProof/>
          <w:lang w:eastAsia="ru-RU"/>
        </w:rPr>
        <w:lastRenderedPageBreak/>
        <w:drawing>
          <wp:inline distT="0" distB="0" distL="0" distR="0">
            <wp:extent cx="5767070" cy="4352925"/>
            <wp:effectExtent l="0" t="0" r="508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86F06" w:rsidRDefault="00786F06"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372F60" w:rsidRDefault="00372F60"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tbl>
      <w:tblPr>
        <w:tblW w:w="8700" w:type="dxa"/>
        <w:tblInd w:w="-5" w:type="dxa"/>
        <w:tblLook w:val="04A0"/>
      </w:tblPr>
      <w:tblGrid>
        <w:gridCol w:w="2698"/>
        <w:gridCol w:w="960"/>
        <w:gridCol w:w="960"/>
        <w:gridCol w:w="1619"/>
        <w:gridCol w:w="1503"/>
        <w:gridCol w:w="960"/>
      </w:tblGrid>
      <w:tr w:rsidR="00786F06" w:rsidRPr="00786F06" w:rsidTr="00786F06">
        <w:trPr>
          <w:trHeight w:val="300"/>
        </w:trPr>
        <w:tc>
          <w:tcPr>
            <w:tcW w:w="2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Функциональная структура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КБК</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2022год</w:t>
            </w:r>
          </w:p>
        </w:tc>
        <w:tc>
          <w:tcPr>
            <w:tcW w:w="3122" w:type="dxa"/>
            <w:gridSpan w:val="2"/>
            <w:tcBorders>
              <w:top w:val="single" w:sz="4" w:space="0" w:color="auto"/>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2023год</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роста к 2022 году</w:t>
            </w:r>
          </w:p>
        </w:tc>
      </w:tr>
      <w:tr w:rsidR="00786F06" w:rsidRPr="00786F06" w:rsidTr="00786F06">
        <w:trPr>
          <w:trHeight w:val="569"/>
        </w:trPr>
        <w:tc>
          <w:tcPr>
            <w:tcW w:w="2698"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1619" w:type="dxa"/>
            <w:tcBorders>
              <w:top w:val="nil"/>
              <w:left w:val="nil"/>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Уточненный план на 2023 год</w:t>
            </w:r>
          </w:p>
        </w:tc>
        <w:tc>
          <w:tcPr>
            <w:tcW w:w="1503" w:type="dxa"/>
            <w:tcBorders>
              <w:top w:val="nil"/>
              <w:left w:val="nil"/>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xml:space="preserve">Исполнение </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Всего расходов</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right"/>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487604,2</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176 327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160 446</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32,9</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в том числе:</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ОБЩЕГОСУДАРСТВЕННЫЕ ВОПРОСЫ</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32500,1</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35 093</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33 085</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101,8</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ОБОРОНА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451,3</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517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517</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114,6</w:t>
            </w:r>
          </w:p>
        </w:tc>
      </w:tr>
      <w:tr w:rsidR="00786F06" w:rsidRPr="00786F06" w:rsidTr="00786F06">
        <w:trPr>
          <w:trHeight w:val="96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279,7</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316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308</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110,1</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ЭКОНОМИКА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351033,4</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15 646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14070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4,0</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ЖИЛИЩНО-КОММУНАЛЬНОЕ ХОЗЯЙСТВО</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4705,7</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7 127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5 544</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117,8</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ОБРАЗОВАНИЕ</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78077,7</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9308</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474</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0,6</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КУЛЬТУРА, КИНЕМАТОГРАФИЯ</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11793</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82 976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81 145</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688,1</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СОЦИАЛЬНАЯ ПОЛИТИКА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1000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1808,3</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118 033</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17 169</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949,5</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ФИЗИЧЕСКАЯ КУЛЬТУРА И СПОРТ</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592</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2 886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2 719</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459,3</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МЕЖБЮДЖЕТНЫЕ ТРАНСФЕРТЫ</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1400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2846</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3 157</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3 157</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110,9</w:t>
            </w:r>
          </w:p>
        </w:tc>
      </w:tr>
    </w:tbl>
    <w:p w:rsidR="00786F06" w:rsidRDefault="00786F06"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2F60" w:rsidRPr="00BB27C5" w:rsidRDefault="00372F60"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0"/>
          <w:szCs w:val="24"/>
          <w:lang w:eastAsia="ru-RU"/>
        </w:rPr>
        <w:lastRenderedPageBreak/>
        <w:t> </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Calibri"/>
          <w:sz w:val="24"/>
          <w:szCs w:val="24"/>
          <w:lang w:eastAsia="ru-RU"/>
        </w:rPr>
      </w:pPr>
      <w:r w:rsidRPr="00BB27C5">
        <w:rPr>
          <w:rFonts w:ascii="Calibri" w:eastAsia="Times New Roman" w:hAnsi="Calibri" w:cs="Calibri"/>
          <w:color w:val="000000"/>
          <w:sz w:val="20"/>
          <w:szCs w:val="24"/>
          <w:lang w:eastAsia="ru-RU"/>
        </w:rPr>
        <w:t> </w:t>
      </w:r>
      <w:r w:rsidR="00786F06">
        <w:rPr>
          <w:noProof/>
          <w:lang w:eastAsia="ru-RU"/>
        </w:rPr>
        <w:drawing>
          <wp:inline distT="0" distB="0" distL="0" distR="0">
            <wp:extent cx="5114925" cy="397192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27C5" w:rsidRDefault="00BB27C5" w:rsidP="00BB27C5">
      <w:pPr>
        <w:autoSpaceDE w:val="0"/>
        <w:autoSpaceDN w:val="0"/>
        <w:adjustRightInd w:val="0"/>
        <w:spacing w:after="0" w:line="240" w:lineRule="auto"/>
        <w:jc w:val="both"/>
        <w:rPr>
          <w:rFonts w:ascii="Calibri" w:eastAsia="Times New Roman" w:hAnsi="Calibri" w:cs="Calibri"/>
          <w:color w:val="000000"/>
          <w:sz w:val="20"/>
          <w:szCs w:val="24"/>
          <w:lang w:eastAsia="ru-RU"/>
        </w:rPr>
      </w:pPr>
      <w:r w:rsidRPr="00BB27C5">
        <w:rPr>
          <w:rFonts w:ascii="Calibri" w:eastAsia="Times New Roman" w:hAnsi="Calibri" w:cs="Calibri"/>
          <w:color w:val="000000"/>
          <w:sz w:val="20"/>
          <w:szCs w:val="24"/>
          <w:lang w:eastAsia="ru-RU"/>
        </w:rPr>
        <w:t> </w:t>
      </w:r>
    </w:p>
    <w:p w:rsidR="00BB27C5" w:rsidRPr="00BB27C5" w:rsidRDefault="00BB27C5" w:rsidP="00BB27C5">
      <w:pPr>
        <w:autoSpaceDE w:val="0"/>
        <w:autoSpaceDN w:val="0"/>
        <w:adjustRightInd w:val="0"/>
        <w:spacing w:after="0" w:line="276" w:lineRule="auto"/>
        <w:ind w:left="140" w:firstLine="56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Cs w:val="24"/>
          <w:lang w:eastAsia="ru-RU"/>
        </w:rPr>
        <w:t>По программной структуре расходов бюджета учтено 7 муниципальных программ, доля расходов в общем объеме составила 99,9 % в сумме 487171,4 тыс. рублей.</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Cs w:val="24"/>
          <w:lang w:eastAsia="ru-RU"/>
        </w:rPr>
        <w:t>   </w:t>
      </w:r>
      <w:proofErr w:type="spellStart"/>
      <w:r w:rsidRPr="00BB27C5">
        <w:rPr>
          <w:rFonts w:ascii="Times New Roman" w:eastAsia="Times New Roman" w:hAnsi="Times New Roman" w:cs="Times New Roman"/>
          <w:color w:val="000000"/>
          <w:szCs w:val="24"/>
          <w:lang w:eastAsia="ru-RU"/>
        </w:rPr>
        <w:t>Непрограммные</w:t>
      </w:r>
      <w:proofErr w:type="spellEnd"/>
      <w:r w:rsidRPr="00BB27C5">
        <w:rPr>
          <w:rFonts w:ascii="Times New Roman" w:eastAsia="Times New Roman" w:hAnsi="Times New Roman" w:cs="Times New Roman"/>
          <w:color w:val="000000"/>
          <w:szCs w:val="24"/>
          <w:lang w:eastAsia="ru-RU"/>
        </w:rPr>
        <w:t xml:space="preserve"> расходы 0,1 % от общего объема расходов   в сумме 432,8 тыс. руб</w:t>
      </w:r>
      <w:r w:rsidRPr="00BB27C5">
        <w:rPr>
          <w:rFonts w:ascii="Times New Roman" w:eastAsia="Times New Roman" w:hAnsi="Times New Roman" w:cs="Calibri"/>
          <w:color w:val="000000"/>
          <w:sz w:val="24"/>
          <w:szCs w:val="24"/>
          <w:lang w:eastAsia="ru-RU"/>
        </w:rPr>
        <w:t>лей.</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Calibri" w:eastAsia="Times New Roman" w:hAnsi="Calibri" w:cs="Calibri"/>
          <w:color w:val="000000"/>
          <w:sz w:val="20"/>
          <w:szCs w:val="24"/>
          <w:lang w:eastAsia="ru-RU"/>
        </w:rPr>
        <w:t> </w:t>
      </w:r>
    </w:p>
    <w:p w:rsidR="002C59BB" w:rsidRDefault="002C59BB"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BB27C5" w:rsidRDefault="00BB27C5"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Анализ исполнения плановых значений программных расходов в 2023 году.</w:t>
      </w: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r>
        <w:rPr>
          <w:noProof/>
          <w:lang w:eastAsia="ru-RU"/>
        </w:rPr>
        <w:drawing>
          <wp:inline distT="0" distB="0" distL="0" distR="0">
            <wp:extent cx="5667375" cy="3486150"/>
            <wp:effectExtent l="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2C59BB" w:rsidRPr="00144874" w:rsidRDefault="00580B11" w:rsidP="00144874">
      <w:pPr>
        <w:autoSpaceDE w:val="0"/>
        <w:autoSpaceDN w:val="0"/>
        <w:adjustRightInd w:val="0"/>
        <w:spacing w:after="0" w:line="240" w:lineRule="auto"/>
        <w:jc w:val="right"/>
        <w:rPr>
          <w:rFonts w:ascii="Times New Roman" w:eastAsia="Times New Roman" w:hAnsi="Times New Roman" w:cs="Times New Roman"/>
          <w:lang w:eastAsia="ru-RU"/>
        </w:rPr>
      </w:pPr>
      <w:r w:rsidRPr="00144874">
        <w:rPr>
          <w:rFonts w:ascii="Times New Roman" w:eastAsia="Times New Roman" w:hAnsi="Times New Roman" w:cs="Calibri"/>
          <w:color w:val="000000"/>
          <w:lang w:eastAsia="ru-RU"/>
        </w:rPr>
        <w:t>тыс. руб</w:t>
      </w:r>
      <w:r w:rsidR="00144874" w:rsidRPr="00144874">
        <w:rPr>
          <w:rFonts w:ascii="Times New Roman" w:eastAsia="Times New Roman" w:hAnsi="Times New Roman" w:cs="Calibri"/>
          <w:color w:val="000000"/>
          <w:lang w:eastAsia="ru-RU"/>
        </w:rPr>
        <w:t>.</w:t>
      </w:r>
    </w:p>
    <w:tbl>
      <w:tblPr>
        <w:tblW w:w="9345" w:type="dxa"/>
        <w:tblLayout w:type="fixed"/>
        <w:tblLook w:val="04A0"/>
      </w:tblPr>
      <w:tblGrid>
        <w:gridCol w:w="772"/>
        <w:gridCol w:w="4468"/>
        <w:gridCol w:w="1134"/>
        <w:gridCol w:w="992"/>
        <w:gridCol w:w="1134"/>
        <w:gridCol w:w="845"/>
      </w:tblGrid>
      <w:tr w:rsidR="004B061F" w:rsidRPr="004B061F" w:rsidTr="00372F60">
        <w:trPr>
          <w:trHeight w:val="840"/>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Номер МП</w:t>
            </w:r>
          </w:p>
        </w:tc>
        <w:tc>
          <w:tcPr>
            <w:tcW w:w="4468"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Наименование муниципальной программы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Уточненный план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Исполнение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Отклонения</w:t>
            </w:r>
            <w:proofErr w:type="gramStart"/>
            <w:r w:rsidRPr="004B061F">
              <w:rPr>
                <w:rFonts w:ascii="Times New Roman" w:eastAsia="Times New Roman" w:hAnsi="Times New Roman" w:cs="Times New Roman"/>
                <w:color w:val="000000"/>
                <w:sz w:val="20"/>
                <w:szCs w:val="20"/>
                <w:lang w:eastAsia="ru-RU"/>
              </w:rPr>
              <w:t xml:space="preserve"> (+/-)</w:t>
            </w:r>
            <w:proofErr w:type="gramEnd"/>
          </w:p>
        </w:tc>
        <w:tc>
          <w:tcPr>
            <w:tcW w:w="845" w:type="dxa"/>
            <w:tcBorders>
              <w:top w:val="single" w:sz="4" w:space="0" w:color="auto"/>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w:t>
            </w:r>
          </w:p>
        </w:tc>
      </w:tr>
      <w:tr w:rsidR="004B061F" w:rsidRPr="004B061F" w:rsidTr="00372F60">
        <w:trPr>
          <w:trHeight w:val="102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372F60">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Муниципальная программа "Развитие образования, молодежной политики и физической культуры и спорта в муниципальном образовании"</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85936</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83943,9</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-1992,1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97,68</w:t>
            </w:r>
          </w:p>
        </w:tc>
      </w:tr>
      <w:tr w:rsidR="004B061F" w:rsidRPr="004B061F" w:rsidTr="00372F60">
        <w:trPr>
          <w:trHeight w:val="51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"Развитие культуры в муниципальном образовании"</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18033,3</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17169,9</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-863,4</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95,21</w:t>
            </w:r>
          </w:p>
        </w:tc>
      </w:tr>
      <w:tr w:rsidR="004B061F" w:rsidRPr="004B061F" w:rsidTr="00372F60">
        <w:trPr>
          <w:trHeight w:val="102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"Содействие экономическому развитию и инвестиционной привлекательности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66,67</w:t>
            </w:r>
          </w:p>
        </w:tc>
      </w:tr>
      <w:tr w:rsidR="004B061F" w:rsidRPr="004B061F" w:rsidTr="00372F60">
        <w:trPr>
          <w:trHeight w:val="765"/>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4</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"Обеспечение безопасности граждан на территории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4668,9</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3723,8</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-945,1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79,76</w:t>
            </w:r>
          </w:p>
        </w:tc>
      </w:tr>
      <w:tr w:rsidR="004B061F" w:rsidRPr="004B061F" w:rsidTr="00372F60">
        <w:trPr>
          <w:trHeight w:val="779"/>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5</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"Комплексное развитие систем коммунальной инфраструктуры и благоустройства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14573,9</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5721,5</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-8852,4</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39,26</w:t>
            </w:r>
          </w:p>
        </w:tc>
      </w:tr>
      <w:tr w:rsidR="004B061F" w:rsidRPr="004B061F" w:rsidTr="00372F60">
        <w:trPr>
          <w:trHeight w:val="765"/>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6</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"Развитие транспортного обслуживания населения на территории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15456</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13948,1</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-1507,9</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90,24</w:t>
            </w:r>
          </w:p>
        </w:tc>
      </w:tr>
      <w:tr w:rsidR="004B061F" w:rsidRPr="004B061F" w:rsidTr="00372F60">
        <w:trPr>
          <w:trHeight w:val="1184"/>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7</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Муниципальная программа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35469,1</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33764,6</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-1704,5</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95,19</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Итого программные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2187</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Calibri" w:eastAsia="Times New Roman" w:hAnsi="Calibri" w:cs="Calibri"/>
                <w:color w:val="000000"/>
                <w:sz w:val="18"/>
                <w:szCs w:val="18"/>
                <w:lang w:eastAsia="ru-RU"/>
              </w:rPr>
            </w:pPr>
            <w:r w:rsidRPr="004B061F">
              <w:rPr>
                <w:rFonts w:ascii="Calibri" w:eastAsia="Times New Roman" w:hAnsi="Calibri" w:cs="Calibri"/>
                <w:color w:val="000000"/>
                <w:sz w:val="18"/>
                <w:szCs w:val="18"/>
                <w:lang w:eastAsia="ru-RU"/>
              </w:rPr>
              <w:t>2173,3</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-13,7</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99,37</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b/>
                <w:bCs/>
                <w:color w:val="000000"/>
                <w:sz w:val="20"/>
                <w:szCs w:val="20"/>
                <w:lang w:eastAsia="ru-RU"/>
              </w:rPr>
            </w:pPr>
            <w:r w:rsidRPr="004B061F">
              <w:rPr>
                <w:rFonts w:ascii="Times New Roman" w:eastAsia="Times New Roman" w:hAnsi="Times New Roman" w:cs="Times New Roman"/>
                <w:b/>
                <w:bCs/>
                <w:color w:val="000000"/>
                <w:sz w:val="20"/>
                <w:szCs w:val="20"/>
                <w:lang w:eastAsia="ru-RU"/>
              </w:rPr>
              <w:t>Расходы местного бюджета – всего</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b/>
                <w:bCs/>
                <w:color w:val="000000"/>
                <w:sz w:val="20"/>
                <w:szCs w:val="20"/>
                <w:lang w:eastAsia="ru-RU"/>
              </w:rPr>
            </w:pPr>
            <w:r w:rsidRPr="004B061F">
              <w:rPr>
                <w:rFonts w:ascii="Times New Roman" w:eastAsia="Times New Roman" w:hAnsi="Times New Roman" w:cs="Times New Roman"/>
                <w:b/>
                <w:bCs/>
                <w:color w:val="000000"/>
                <w:sz w:val="20"/>
                <w:szCs w:val="20"/>
                <w:lang w:eastAsia="ru-RU"/>
              </w:rPr>
              <w:t>176327,2</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Calibri" w:eastAsia="Times New Roman" w:hAnsi="Calibri" w:cs="Calibri"/>
                <w:b/>
                <w:bCs/>
                <w:color w:val="000000"/>
                <w:sz w:val="18"/>
                <w:szCs w:val="18"/>
                <w:lang w:eastAsia="ru-RU"/>
              </w:rPr>
            </w:pPr>
            <w:r w:rsidRPr="004B061F">
              <w:rPr>
                <w:rFonts w:ascii="Calibri" w:eastAsia="Times New Roman" w:hAnsi="Calibri" w:cs="Calibri"/>
                <w:b/>
                <w:bCs/>
                <w:color w:val="000000"/>
                <w:sz w:val="18"/>
                <w:szCs w:val="18"/>
                <w:lang w:eastAsia="ru-RU"/>
              </w:rPr>
              <w:t>160446,2</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-15881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90,99</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xml:space="preserve">Доля </w:t>
            </w:r>
            <w:proofErr w:type="spellStart"/>
            <w:r w:rsidRPr="004B061F">
              <w:rPr>
                <w:rFonts w:ascii="Times New Roman" w:eastAsia="Times New Roman" w:hAnsi="Times New Roman" w:cs="Times New Roman"/>
                <w:color w:val="000000"/>
                <w:sz w:val="20"/>
                <w:szCs w:val="20"/>
                <w:lang w:eastAsia="ru-RU"/>
              </w:rPr>
              <w:t>непрограммных</w:t>
            </w:r>
            <w:proofErr w:type="spellEnd"/>
            <w:r w:rsidRPr="004B061F">
              <w:rPr>
                <w:rFonts w:ascii="Times New Roman" w:eastAsia="Times New Roman" w:hAnsi="Times New Roman" w:cs="Times New Roman"/>
                <w:color w:val="000000"/>
                <w:sz w:val="20"/>
                <w:szCs w:val="20"/>
                <w:lang w:eastAsia="ru-RU"/>
              </w:rPr>
              <w:t xml:space="preserve"> расходов в общем объеме расходов</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1,24</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1,35</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w:t>
            </w:r>
          </w:p>
        </w:tc>
      </w:tr>
    </w:tbl>
    <w:p w:rsidR="00BB27C5" w:rsidRPr="00BB27C5" w:rsidRDefault="004B061F" w:rsidP="004B061F">
      <w:pPr>
        <w:tabs>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Calibri"/>
          <w:color w:val="000000"/>
          <w:sz w:val="24"/>
          <w:szCs w:val="24"/>
          <w:lang w:eastAsia="ru-RU"/>
        </w:rPr>
        <w:tab/>
      </w:r>
    </w:p>
    <w:tbl>
      <w:tblPr>
        <w:tblW w:w="9380" w:type="dxa"/>
        <w:tblInd w:w="96" w:type="dxa"/>
        <w:tblCellMar>
          <w:left w:w="0" w:type="dxa"/>
          <w:right w:w="0" w:type="dxa"/>
        </w:tblCellMar>
        <w:tblLook w:val="04A0"/>
      </w:tblPr>
      <w:tblGrid>
        <w:gridCol w:w="3481"/>
        <w:gridCol w:w="4595"/>
        <w:gridCol w:w="1399"/>
      </w:tblGrid>
      <w:tr w:rsidR="00580B11" w:rsidTr="00580B11">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noProof/>
                <w:lang w:eastAsia="ru-RU"/>
              </w:rPr>
              <w:drawing>
                <wp:inline distT="0" distB="0" distL="0" distR="0">
                  <wp:extent cx="2857500" cy="952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952500"/>
                          </a:xfrm>
                          <a:prstGeom prst="rect">
                            <a:avLst/>
                          </a:prstGeom>
                          <a:noFill/>
                          <a:ln>
                            <a:noFill/>
                          </a:ln>
                        </pic:spPr>
                      </pic:pic>
                    </a:graphicData>
                  </a:graphic>
                </wp:inline>
              </w:drawing>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0"/>
        </w:trPr>
        <w:tc>
          <w:tcPr>
            <w:tcW w:w="3570" w:type="dxa"/>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sz w:val="20"/>
                <w:szCs w:val="20"/>
              </w:rPr>
            </w:pP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 xml:space="preserve">В.Н. </w:t>
            </w:r>
            <w:proofErr w:type="spellStart"/>
            <w:r>
              <w:rPr>
                <w:rFonts w:ascii="Times New Roman" w:eastAsia="Times New Roman" w:hAnsi="Times New Roman" w:cs="Times New Roman"/>
                <w:sz w:val="20"/>
                <w:szCs w:val="20"/>
                <w:u w:val="single"/>
              </w:rPr>
              <w:t>Левшаков</w:t>
            </w:r>
            <w:proofErr w:type="spellEnd"/>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noProof/>
                <w:lang w:eastAsia="ru-RU"/>
              </w:rPr>
              <w:drawing>
                <wp:inline distT="0" distB="0" distL="0" distR="0">
                  <wp:extent cx="2857500" cy="952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952500"/>
                          </a:xfrm>
                          <a:prstGeom prst="rect">
                            <a:avLst/>
                          </a:prstGeom>
                          <a:noFill/>
                          <a:ln>
                            <a:noFill/>
                          </a:ln>
                        </pic:spPr>
                      </pic:pic>
                    </a:graphicData>
                  </a:graphic>
                </wp:inline>
              </w:drawing>
            </w:r>
          </w:p>
        </w:tc>
        <w:tc>
          <w:tcPr>
            <w:tcW w:w="0" w:type="auto"/>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449"/>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lastRenderedPageBreak/>
              <w:t>"____"   ____________ 20____г.</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sz w:val="20"/>
                <w:szCs w:val="20"/>
              </w:rPr>
            </w:pPr>
          </w:p>
        </w:tc>
      </w:tr>
    </w:tbl>
    <w:p w:rsidR="00372F60" w:rsidRDefault="00372F60" w:rsidP="00372F60">
      <w:pPr>
        <w:rPr>
          <w:rFonts w:ascii="Calibri" w:eastAsia="Times New Roman" w:hAnsi="Calibri" w:cs="Calibri"/>
          <w:color w:val="000000"/>
          <w:szCs w:val="24"/>
          <w:lang w:eastAsia="ru-RU"/>
        </w:rPr>
      </w:pPr>
    </w:p>
    <w:p w:rsidR="00580B11" w:rsidRDefault="00580B11" w:rsidP="00580B11">
      <w:r>
        <w:rPr>
          <w:rFonts w:ascii="Times New Roman" w:eastAsia="Times New Roman" w:hAnsi="Times New Roman" w:cs="Times New Roman"/>
          <w:sz w:val="24"/>
          <w:szCs w:val="24"/>
        </w:rPr>
        <w:t xml:space="preserve">Документ подписан электронной подписью. </w:t>
      </w:r>
      <w:r>
        <w:rPr>
          <w:rFonts w:ascii="Times New Roman" w:eastAsia="Times New Roman" w:hAnsi="Times New Roman" w:cs="Times New Roman"/>
          <w:sz w:val="24"/>
          <w:szCs w:val="24"/>
        </w:rPr>
        <w:br/>
        <w:t>Руководитель (</w:t>
      </w:r>
      <w:proofErr w:type="spellStart"/>
      <w:r>
        <w:rPr>
          <w:rFonts w:ascii="Times New Roman" w:eastAsia="Times New Roman" w:hAnsi="Times New Roman" w:cs="Times New Roman"/>
          <w:sz w:val="24"/>
          <w:szCs w:val="24"/>
        </w:rPr>
        <w:t>Левшаков</w:t>
      </w:r>
      <w:proofErr w:type="spellEnd"/>
      <w:r>
        <w:rPr>
          <w:rFonts w:ascii="Times New Roman" w:eastAsia="Times New Roman" w:hAnsi="Times New Roman" w:cs="Times New Roman"/>
          <w:sz w:val="24"/>
          <w:szCs w:val="24"/>
        </w:rPr>
        <w:t xml:space="preserve"> Вячеслав Николаевич, Сертификат: 1D96CA8B4B6CC628FED3A5AA2AC8D3D0, Действителен: с 15.12.2023 по 09.03.2025),Главный бухгалте</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Иванова Ирина Александровна, Сертификат: 6011E7B8C93DD4AF57C7BCEC0E28E39B, Действителен: с 19.12.2023 по 13.03.2025)        </w:t>
      </w:r>
    </w:p>
    <w:p w:rsidR="00580B11" w:rsidRPr="00372F60" w:rsidRDefault="00580B11" w:rsidP="00372F60">
      <w:pPr>
        <w:rPr>
          <w:rFonts w:ascii="Calibri" w:eastAsia="Times New Roman" w:hAnsi="Calibri" w:cs="Calibri"/>
          <w:color w:val="000000"/>
          <w:szCs w:val="24"/>
          <w:lang w:eastAsia="ru-RU"/>
        </w:rPr>
      </w:pPr>
    </w:p>
    <w:sectPr w:rsidR="00580B11" w:rsidRPr="00372F60" w:rsidSect="004A1E7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ECF" w:rsidRDefault="00F31ECF" w:rsidP="00372F60">
      <w:pPr>
        <w:spacing w:after="0" w:line="240" w:lineRule="auto"/>
      </w:pPr>
      <w:r>
        <w:separator/>
      </w:r>
    </w:p>
  </w:endnote>
  <w:endnote w:type="continuationSeparator" w:id="1">
    <w:p w:rsidR="00F31ECF" w:rsidRDefault="00F31ECF" w:rsidP="00372F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ECF" w:rsidRDefault="00F31ECF" w:rsidP="00372F60">
      <w:pPr>
        <w:spacing w:after="0" w:line="240" w:lineRule="auto"/>
      </w:pPr>
      <w:r>
        <w:separator/>
      </w:r>
    </w:p>
  </w:footnote>
  <w:footnote w:type="continuationSeparator" w:id="1">
    <w:p w:rsidR="00F31ECF" w:rsidRDefault="00F31ECF" w:rsidP="00372F6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BB27C5"/>
    <w:rsid w:val="00070904"/>
    <w:rsid w:val="00144874"/>
    <w:rsid w:val="00177FE2"/>
    <w:rsid w:val="001B47C1"/>
    <w:rsid w:val="002C59BB"/>
    <w:rsid w:val="002E2CC8"/>
    <w:rsid w:val="00372F60"/>
    <w:rsid w:val="00392FE1"/>
    <w:rsid w:val="003F0D55"/>
    <w:rsid w:val="0046242C"/>
    <w:rsid w:val="004A1E79"/>
    <w:rsid w:val="004B061F"/>
    <w:rsid w:val="00520D0C"/>
    <w:rsid w:val="005277B3"/>
    <w:rsid w:val="0054681F"/>
    <w:rsid w:val="005621E2"/>
    <w:rsid w:val="00580B11"/>
    <w:rsid w:val="0063660F"/>
    <w:rsid w:val="006664A0"/>
    <w:rsid w:val="00703DBC"/>
    <w:rsid w:val="00747204"/>
    <w:rsid w:val="00786F06"/>
    <w:rsid w:val="007A30A0"/>
    <w:rsid w:val="007C5B29"/>
    <w:rsid w:val="00844C04"/>
    <w:rsid w:val="0089260A"/>
    <w:rsid w:val="008B68FA"/>
    <w:rsid w:val="00940AB4"/>
    <w:rsid w:val="00993798"/>
    <w:rsid w:val="00A14F9B"/>
    <w:rsid w:val="00AC3A43"/>
    <w:rsid w:val="00AF72A8"/>
    <w:rsid w:val="00BB27C5"/>
    <w:rsid w:val="00BE6396"/>
    <w:rsid w:val="00C21F56"/>
    <w:rsid w:val="00D11CBC"/>
    <w:rsid w:val="00DB2E60"/>
    <w:rsid w:val="00DF6601"/>
    <w:rsid w:val="00E67CD3"/>
    <w:rsid w:val="00F26B1D"/>
    <w:rsid w:val="00F3062D"/>
    <w:rsid w:val="00F31E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E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F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2F60"/>
  </w:style>
  <w:style w:type="paragraph" w:styleId="a5">
    <w:name w:val="footer"/>
    <w:basedOn w:val="a"/>
    <w:link w:val="a6"/>
    <w:uiPriority w:val="99"/>
    <w:unhideWhenUsed/>
    <w:rsid w:val="00372F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2F60"/>
  </w:style>
  <w:style w:type="paragraph" w:styleId="a7">
    <w:name w:val="Balloon Text"/>
    <w:basedOn w:val="a"/>
    <w:link w:val="a8"/>
    <w:uiPriority w:val="99"/>
    <w:semiHidden/>
    <w:unhideWhenUsed/>
    <w:rsid w:val="004624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24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65775">
      <w:bodyDiv w:val="1"/>
      <w:marLeft w:val="0"/>
      <w:marRight w:val="0"/>
      <w:marTop w:val="0"/>
      <w:marBottom w:val="0"/>
      <w:divBdr>
        <w:top w:val="none" w:sz="0" w:space="0" w:color="auto"/>
        <w:left w:val="none" w:sz="0" w:space="0" w:color="auto"/>
        <w:bottom w:val="none" w:sz="0" w:space="0" w:color="auto"/>
        <w:right w:val="none" w:sz="0" w:space="0" w:color="auto"/>
      </w:divBdr>
    </w:div>
    <w:div w:id="52395338">
      <w:bodyDiv w:val="1"/>
      <w:marLeft w:val="0"/>
      <w:marRight w:val="0"/>
      <w:marTop w:val="0"/>
      <w:marBottom w:val="0"/>
      <w:divBdr>
        <w:top w:val="none" w:sz="0" w:space="0" w:color="auto"/>
        <w:left w:val="none" w:sz="0" w:space="0" w:color="auto"/>
        <w:bottom w:val="none" w:sz="0" w:space="0" w:color="auto"/>
        <w:right w:val="none" w:sz="0" w:space="0" w:color="auto"/>
      </w:divBdr>
    </w:div>
    <w:div w:id="53047628">
      <w:bodyDiv w:val="1"/>
      <w:marLeft w:val="0"/>
      <w:marRight w:val="0"/>
      <w:marTop w:val="0"/>
      <w:marBottom w:val="0"/>
      <w:divBdr>
        <w:top w:val="none" w:sz="0" w:space="0" w:color="auto"/>
        <w:left w:val="none" w:sz="0" w:space="0" w:color="auto"/>
        <w:bottom w:val="none" w:sz="0" w:space="0" w:color="auto"/>
        <w:right w:val="none" w:sz="0" w:space="0" w:color="auto"/>
      </w:divBdr>
    </w:div>
    <w:div w:id="196162075">
      <w:bodyDiv w:val="1"/>
      <w:marLeft w:val="0"/>
      <w:marRight w:val="0"/>
      <w:marTop w:val="0"/>
      <w:marBottom w:val="0"/>
      <w:divBdr>
        <w:top w:val="none" w:sz="0" w:space="0" w:color="auto"/>
        <w:left w:val="none" w:sz="0" w:space="0" w:color="auto"/>
        <w:bottom w:val="none" w:sz="0" w:space="0" w:color="auto"/>
        <w:right w:val="none" w:sz="0" w:space="0" w:color="auto"/>
      </w:divBdr>
    </w:div>
    <w:div w:id="355927612">
      <w:bodyDiv w:val="1"/>
      <w:marLeft w:val="0"/>
      <w:marRight w:val="0"/>
      <w:marTop w:val="0"/>
      <w:marBottom w:val="0"/>
      <w:divBdr>
        <w:top w:val="none" w:sz="0" w:space="0" w:color="auto"/>
        <w:left w:val="none" w:sz="0" w:space="0" w:color="auto"/>
        <w:bottom w:val="none" w:sz="0" w:space="0" w:color="auto"/>
        <w:right w:val="none" w:sz="0" w:space="0" w:color="auto"/>
      </w:divBdr>
    </w:div>
    <w:div w:id="929316263">
      <w:bodyDiv w:val="1"/>
      <w:marLeft w:val="0"/>
      <w:marRight w:val="0"/>
      <w:marTop w:val="0"/>
      <w:marBottom w:val="0"/>
      <w:divBdr>
        <w:top w:val="none" w:sz="0" w:space="0" w:color="auto"/>
        <w:left w:val="none" w:sz="0" w:space="0" w:color="auto"/>
        <w:bottom w:val="none" w:sz="0" w:space="0" w:color="auto"/>
        <w:right w:val="none" w:sz="0" w:space="0" w:color="auto"/>
      </w:divBdr>
    </w:div>
    <w:div w:id="1067991264">
      <w:bodyDiv w:val="1"/>
      <w:marLeft w:val="0"/>
      <w:marRight w:val="0"/>
      <w:marTop w:val="0"/>
      <w:marBottom w:val="0"/>
      <w:divBdr>
        <w:top w:val="none" w:sz="0" w:space="0" w:color="auto"/>
        <w:left w:val="none" w:sz="0" w:space="0" w:color="auto"/>
        <w:bottom w:val="none" w:sz="0" w:space="0" w:color="auto"/>
        <w:right w:val="none" w:sz="0" w:space="0" w:color="auto"/>
      </w:divBdr>
    </w:div>
    <w:div w:id="1130434730">
      <w:bodyDiv w:val="1"/>
      <w:marLeft w:val="0"/>
      <w:marRight w:val="0"/>
      <w:marTop w:val="0"/>
      <w:marBottom w:val="0"/>
      <w:divBdr>
        <w:top w:val="none" w:sz="0" w:space="0" w:color="auto"/>
        <w:left w:val="none" w:sz="0" w:space="0" w:color="auto"/>
        <w:bottom w:val="none" w:sz="0" w:space="0" w:color="auto"/>
        <w:right w:val="none" w:sz="0" w:space="0" w:color="auto"/>
      </w:divBdr>
    </w:div>
    <w:div w:id="1137258724">
      <w:bodyDiv w:val="1"/>
      <w:marLeft w:val="0"/>
      <w:marRight w:val="0"/>
      <w:marTop w:val="0"/>
      <w:marBottom w:val="0"/>
      <w:divBdr>
        <w:top w:val="none" w:sz="0" w:space="0" w:color="auto"/>
        <w:left w:val="none" w:sz="0" w:space="0" w:color="auto"/>
        <w:bottom w:val="none" w:sz="0" w:space="0" w:color="auto"/>
        <w:right w:val="none" w:sz="0" w:space="0" w:color="auto"/>
      </w:divBdr>
    </w:div>
    <w:div w:id="1802459273">
      <w:bodyDiv w:val="1"/>
      <w:marLeft w:val="0"/>
      <w:marRight w:val="0"/>
      <w:marTop w:val="0"/>
      <w:marBottom w:val="0"/>
      <w:divBdr>
        <w:top w:val="none" w:sz="0" w:space="0" w:color="auto"/>
        <w:left w:val="none" w:sz="0" w:space="0" w:color="auto"/>
        <w:bottom w:val="none" w:sz="0" w:space="0" w:color="auto"/>
        <w:right w:val="none" w:sz="0" w:space="0" w:color="auto"/>
      </w:divBdr>
    </w:div>
    <w:div w:id="199533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image" Target="media/image2.png"/><Relationship Id="rId5" Type="http://schemas.openxmlformats.org/officeDocument/2006/relationships/endnotes" Target="endnotes.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openxmlformats.org/officeDocument/2006/relationships/package" Target="../embeddings/_____Microsoft_Office_Excel5.xlsx"/><Relationship Id="rId1" Type="http://schemas.openxmlformats.org/officeDocument/2006/relationships/image" Target="../media/image1.jpeg"/><Relationship Id="rId4"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Исполнение доходов к уточненному </a:t>
            </a:r>
          </a:p>
          <a:p>
            <a:pPr>
              <a:defRPr sz="1600" b="1" i="0" u="none" strike="noStrike" kern="1200" baseline="0">
                <a:solidFill>
                  <a:schemeClr val="tx1">
                    <a:lumMod val="65000"/>
                    <a:lumOff val="35000"/>
                  </a:schemeClr>
                </a:solidFill>
                <a:latin typeface="+mn-lt"/>
                <a:ea typeface="+mn-ea"/>
                <a:cs typeface="+mn-cs"/>
              </a:defRPr>
            </a:pPr>
            <a:r>
              <a:rPr lang="ru-RU"/>
              <a:t>плану за 2023 год в %</a:t>
            </a:r>
          </a:p>
        </c:rich>
      </c:tx>
      <c:layout>
        <c:manualLayout>
          <c:xMode val="edge"/>
          <c:yMode val="edge"/>
          <c:x val="0.30530968443481188"/>
          <c:y val="4.2894822825669379E-2"/>
        </c:manualLayout>
      </c:layout>
      <c:spPr>
        <a:noFill/>
        <a:ln>
          <a:noFill/>
        </a:ln>
        <a:effectLst/>
      </c:spPr>
    </c:title>
    <c:plotArea>
      <c:layout>
        <c:manualLayout>
          <c:layoutTarget val="inner"/>
          <c:xMode val="edge"/>
          <c:yMode val="edge"/>
          <c:x val="0.23192357075652786"/>
          <c:y val="0.15839524517087672"/>
          <c:w val="0.5381151448237903"/>
          <c:h val="0.47421404199475076"/>
        </c:manualLayout>
      </c:layout>
      <c:pieChart>
        <c:varyColors val="1"/>
        <c:ser>
          <c:idx val="0"/>
          <c:order val="0"/>
          <c:explosion val="88"/>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Percent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Лист2!$C$6:$C$21</c:f>
            </c:numRef>
          </c:val>
        </c:ser>
        <c:ser>
          <c:idx val="1"/>
          <c:order val="1"/>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showVal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Лист2!$D$6:$D$21</c:f>
            </c:numRef>
          </c:val>
        </c:ser>
        <c:ser>
          <c:idx val="2"/>
          <c:order val="2"/>
          <c:spPr>
            <a:effectLst>
              <a:softEdge rad="0"/>
            </a:effectLst>
            <a:scene3d>
              <a:camera prst="orthographicFront"/>
              <a:lightRig rig="threePt" dir="t">
                <a:rot lat="0" lon="0" rev="9000000"/>
              </a:lightRig>
            </a:scene3d>
            <a:sp3d>
              <a:bevelT w="31750" h="120650"/>
              <a:bevelB w="69850"/>
            </a:sp3d>
          </c:spPr>
          <c:explosion val="25"/>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3"/>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5"/>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6"/>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7"/>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8"/>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9"/>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1"/>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2"/>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3"/>
            <c:spPr>
              <a:gradFill rotWithShape="1">
                <a:gsLst>
                  <a:gs pos="0">
                    <a:schemeClr val="accent2">
                      <a:lumMod val="80000"/>
                      <a:lumOff val="20000"/>
                      <a:satMod val="103000"/>
                      <a:lumMod val="102000"/>
                      <a:tint val="94000"/>
                    </a:schemeClr>
                  </a:gs>
                  <a:gs pos="50000">
                    <a:schemeClr val="accent2">
                      <a:lumMod val="80000"/>
                      <a:lumOff val="20000"/>
                      <a:satMod val="110000"/>
                      <a:lumMod val="100000"/>
                      <a:shade val="100000"/>
                    </a:schemeClr>
                  </a:gs>
                  <a:gs pos="100000">
                    <a:schemeClr val="accent2">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4"/>
            <c:explosion val="10"/>
            <c:spPr>
              <a:gradFill rotWithShape="1">
                <a:gsLst>
                  <a:gs pos="0">
                    <a:schemeClr val="accent3">
                      <a:lumMod val="80000"/>
                      <a:lumOff val="20000"/>
                      <a:satMod val="103000"/>
                      <a:lumMod val="102000"/>
                      <a:tint val="94000"/>
                    </a:schemeClr>
                  </a:gs>
                  <a:gs pos="50000">
                    <a:schemeClr val="accent3">
                      <a:lumMod val="80000"/>
                      <a:lumOff val="20000"/>
                      <a:satMod val="110000"/>
                      <a:lumMod val="100000"/>
                      <a:shade val="100000"/>
                    </a:schemeClr>
                  </a:gs>
                  <a:gs pos="100000">
                    <a:schemeClr val="accent3">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5"/>
            <c:spPr>
              <a:gradFill rotWithShape="1">
                <a:gsLst>
                  <a:gs pos="0">
                    <a:schemeClr val="accent4">
                      <a:lumMod val="80000"/>
                      <a:lumOff val="20000"/>
                      <a:satMod val="103000"/>
                      <a:lumMod val="102000"/>
                      <a:tint val="94000"/>
                    </a:schemeClr>
                  </a:gs>
                  <a:gs pos="50000">
                    <a:schemeClr val="accent4">
                      <a:lumMod val="80000"/>
                      <a:lumOff val="20000"/>
                      <a:satMod val="110000"/>
                      <a:lumMod val="100000"/>
                      <a:shade val="100000"/>
                    </a:schemeClr>
                  </a:gs>
                  <a:gs pos="100000">
                    <a:schemeClr val="accent4">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Lbls>
            <c:dLbl>
              <c:idx val="0"/>
              <c:layout>
                <c:manualLayout>
                  <c:x val="9.1940940497616891E-2"/>
                  <c:y val="2.5977310042782548E-2"/>
                </c:manualLayout>
              </c:layout>
              <c:showVal val="1"/>
              <c:extLst>
                <c:ext xmlns:c15="http://schemas.microsoft.com/office/drawing/2012/chart" uri="{CE6537A1-D6FC-4f65-9D91-7224C49458BB}"/>
              </c:extLst>
            </c:dLbl>
            <c:dLbl>
              <c:idx val="15"/>
              <c:layout>
                <c:manualLayout>
                  <c:x val="-4.0328506121850884E-2"/>
                  <c:y val="1.2843298828412524E-2"/>
                </c:manualLayout>
              </c:layout>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Лист2!$E$6:$E$21</c:f>
              <c:numCache>
                <c:formatCode>0.00</c:formatCode>
                <c:ptCount val="16"/>
                <c:pt idx="0">
                  <c:v>110.88813642297649</c:v>
                </c:pt>
                <c:pt idx="1">
                  <c:v>116.39413282629361</c:v>
                </c:pt>
                <c:pt idx="2">
                  <c:v>99.345271404588686</c:v>
                </c:pt>
                <c:pt idx="4">
                  <c:v>67.333333333333314</c:v>
                </c:pt>
                <c:pt idx="6">
                  <c:v>128.92966360856263</c:v>
                </c:pt>
                <c:pt idx="7">
                  <c:v>105.64583333333331</c:v>
                </c:pt>
                <c:pt idx="8">
                  <c:v>257.10000000000002</c:v>
                </c:pt>
                <c:pt idx="9">
                  <c:v>26.315789473684209</c:v>
                </c:pt>
                <c:pt idx="10">
                  <c:v>214.86725663716814</c:v>
                </c:pt>
                <c:pt idx="12">
                  <c:v>0.20475319926873858</c:v>
                </c:pt>
                <c:pt idx="13">
                  <c:v>712.8</c:v>
                </c:pt>
                <c:pt idx="14">
                  <c:v>821.21212121212125</c:v>
                </c:pt>
                <c:pt idx="15">
                  <c:v>-3</c:v>
                </c:pt>
              </c:numCache>
            </c:numRef>
          </c:val>
        </c:ser>
        <c:dLbls/>
        <c:firstSliceAng val="1"/>
      </c:pieChart>
      <c:spPr>
        <a:noFill/>
        <a:ln>
          <a:noFill/>
        </a:ln>
        <a:effectLst/>
      </c:spPr>
    </c:plotArea>
    <c:legend>
      <c:legendPos val="b"/>
      <c:layout>
        <c:manualLayout>
          <c:xMode val="edge"/>
          <c:yMode val="edge"/>
          <c:x val="6.9842777366714154E-2"/>
          <c:y val="0.64295132907044339"/>
          <c:w val="0.78364295627142"/>
          <c:h val="0.23892786556042914"/>
        </c:manualLayout>
      </c:layout>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Сравнение</a:t>
            </a:r>
            <a:r>
              <a:rPr lang="ru-RU" baseline="0"/>
              <a:t> исполнения </a:t>
            </a:r>
          </a:p>
          <a:p>
            <a:pPr>
              <a:defRPr sz="1400" b="0" i="0" u="none" strike="noStrike" kern="1200" spc="0" baseline="0">
                <a:solidFill>
                  <a:schemeClr val="tx1">
                    <a:lumMod val="65000"/>
                    <a:lumOff val="35000"/>
                  </a:schemeClr>
                </a:solidFill>
                <a:latin typeface="+mn-lt"/>
                <a:ea typeface="+mn-ea"/>
                <a:cs typeface="+mn-cs"/>
              </a:defRPr>
            </a:pPr>
            <a:r>
              <a:rPr lang="ru-RU" baseline="0"/>
              <a:t>доходов к 2022 году</a:t>
            </a:r>
            <a:endParaRPr lang="ru-RU"/>
          </a:p>
        </c:rich>
      </c:tx>
      <c:layout/>
      <c:spPr>
        <a:noFill/>
        <a:ln>
          <a:noFill/>
        </a:ln>
        <a:effectLst/>
      </c:spPr>
    </c:title>
    <c:plotArea>
      <c:layout/>
      <c:barChart>
        <c:barDir val="bar"/>
        <c:grouping val="percentStacked"/>
        <c:ser>
          <c:idx val="0"/>
          <c:order val="0"/>
          <c:tx>
            <c:strRef>
              <c:f>Лист1!$B$28</c:f>
              <c:strCache>
                <c:ptCount val="1"/>
                <c:pt idx="0">
                  <c:v>2022г</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Лист1!$A$29:$A$47</c:f>
              <c:strCache>
                <c:ptCount val="17"/>
                <c:pt idx="0">
                  <c:v>НДФЛ</c:v>
                </c:pt>
                <c:pt idx="1">
                  <c:v>акцизы</c:v>
                </c:pt>
                <c:pt idx="2">
                  <c:v>упрощенная система налогооблажения</c:v>
                </c:pt>
                <c:pt idx="3">
                  <c:v>единый налог на вменен. доход</c:v>
                </c:pt>
                <c:pt idx="4">
                  <c:v>единый с/х налог</c:v>
                </c:pt>
                <c:pt idx="5">
                  <c:v>патент</c:v>
                </c:pt>
                <c:pt idx="6">
                  <c:v>гос. пошлина</c:v>
                </c:pt>
                <c:pt idx="7">
                  <c:v>аренда имущества</c:v>
                </c:pt>
                <c:pt idx="8">
                  <c:v>аренда земли</c:v>
                </c:pt>
                <c:pt idx="9">
                  <c:v>Платежи от муниципальных унитарных предприятий </c:v>
                </c:pt>
                <c:pt idx="10">
                  <c:v>Прочие  доходы от использования  имущества</c:v>
                </c:pt>
                <c:pt idx="11">
                  <c:v>плата за негативное воздействие на окружающую среду</c:v>
                </c:pt>
                <c:pt idx="12">
                  <c:v>доходы от реализации имущества</c:v>
                </c:pt>
                <c:pt idx="13">
                  <c:v>доходы от продажи зем. участков</c:v>
                </c:pt>
                <c:pt idx="14">
                  <c:v>штрафы</c:v>
                </c:pt>
                <c:pt idx="15">
                  <c:v>прочие неналоговые доходы</c:v>
                </c:pt>
                <c:pt idx="16">
                  <c:v>Безвозмездные поступления</c:v>
                </c:pt>
              </c:strCache>
            </c:strRef>
          </c:cat>
          <c:val>
            <c:numRef>
              <c:f>Лист1!$B$29:$B$47</c:f>
              <c:numCache>
                <c:formatCode>General</c:formatCode>
                <c:ptCount val="17"/>
                <c:pt idx="0">
                  <c:v>26161.1</c:v>
                </c:pt>
                <c:pt idx="1">
                  <c:v>7692.1</c:v>
                </c:pt>
                <c:pt idx="2">
                  <c:v>1406.9</c:v>
                </c:pt>
                <c:pt idx="3">
                  <c:v>1.1000000000000001</c:v>
                </c:pt>
                <c:pt idx="4">
                  <c:v>0</c:v>
                </c:pt>
                <c:pt idx="5">
                  <c:v>158.80000000000001</c:v>
                </c:pt>
                <c:pt idx="6">
                  <c:v>401.3</c:v>
                </c:pt>
                <c:pt idx="7">
                  <c:v>138.80000000000001</c:v>
                </c:pt>
                <c:pt idx="8">
                  <c:v>488.3</c:v>
                </c:pt>
                <c:pt idx="9">
                  <c:v>130</c:v>
                </c:pt>
                <c:pt idx="10">
                  <c:v>757.1</c:v>
                </c:pt>
                <c:pt idx="11">
                  <c:v>257</c:v>
                </c:pt>
                <c:pt idx="12">
                  <c:v>0</c:v>
                </c:pt>
                <c:pt idx="13">
                  <c:v>57.9</c:v>
                </c:pt>
                <c:pt idx="14">
                  <c:v>79</c:v>
                </c:pt>
                <c:pt idx="15">
                  <c:v>3.7</c:v>
                </c:pt>
                <c:pt idx="16">
                  <c:v>449172.2</c:v>
                </c:pt>
              </c:numCache>
            </c:numRef>
          </c:val>
        </c:ser>
        <c:ser>
          <c:idx val="1"/>
          <c:order val="1"/>
          <c:tx>
            <c:strRef>
              <c:f>Лист1!$C$28</c:f>
              <c:strCache>
                <c:ptCount val="1"/>
                <c:pt idx="0">
                  <c:v>2023</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Лист1!$A$29:$A$47</c:f>
              <c:strCache>
                <c:ptCount val="17"/>
                <c:pt idx="0">
                  <c:v>НДФЛ</c:v>
                </c:pt>
                <c:pt idx="1">
                  <c:v>акцизы</c:v>
                </c:pt>
                <c:pt idx="2">
                  <c:v>упрощенная система налогооблажения</c:v>
                </c:pt>
                <c:pt idx="3">
                  <c:v>единый налог на вменен. доход</c:v>
                </c:pt>
                <c:pt idx="4">
                  <c:v>единый с/х налог</c:v>
                </c:pt>
                <c:pt idx="5">
                  <c:v>патент</c:v>
                </c:pt>
                <c:pt idx="6">
                  <c:v>гос. пошлина</c:v>
                </c:pt>
                <c:pt idx="7">
                  <c:v>аренда имущества</c:v>
                </c:pt>
                <c:pt idx="8">
                  <c:v>аренда земли</c:v>
                </c:pt>
                <c:pt idx="9">
                  <c:v>Платежи от муниципальных унитарных предприятий </c:v>
                </c:pt>
                <c:pt idx="10">
                  <c:v>Прочие  доходы от использования  имущества</c:v>
                </c:pt>
                <c:pt idx="11">
                  <c:v>плата за негативное воздействие на окружающую среду</c:v>
                </c:pt>
                <c:pt idx="12">
                  <c:v>доходы от реализации имущества</c:v>
                </c:pt>
                <c:pt idx="13">
                  <c:v>доходы от продажи зем. участков</c:v>
                </c:pt>
                <c:pt idx="14">
                  <c:v>штрафы</c:v>
                </c:pt>
                <c:pt idx="15">
                  <c:v>прочие неналоговые доходы</c:v>
                </c:pt>
                <c:pt idx="16">
                  <c:v>Безвозмездные поступления</c:v>
                </c:pt>
              </c:strCache>
            </c:strRef>
          </c:cat>
          <c:val>
            <c:numRef>
              <c:f>Лист1!$C$29:$C$47</c:f>
              <c:numCache>
                <c:formatCode>General</c:formatCode>
                <c:ptCount val="17"/>
                <c:pt idx="0">
                  <c:v>27180.9</c:v>
                </c:pt>
                <c:pt idx="1">
                  <c:v>8570.1</c:v>
                </c:pt>
                <c:pt idx="2">
                  <c:v>1775.3</c:v>
                </c:pt>
                <c:pt idx="3">
                  <c:v>-11</c:v>
                </c:pt>
                <c:pt idx="4">
                  <c:v>6.8</c:v>
                </c:pt>
                <c:pt idx="5">
                  <c:v>90.9</c:v>
                </c:pt>
                <c:pt idx="6">
                  <c:v>421.6</c:v>
                </c:pt>
                <c:pt idx="7">
                  <c:v>257.10000000000002</c:v>
                </c:pt>
                <c:pt idx="8">
                  <c:v>507.1</c:v>
                </c:pt>
                <c:pt idx="9">
                  <c:v>50</c:v>
                </c:pt>
                <c:pt idx="10">
                  <c:v>50</c:v>
                </c:pt>
                <c:pt idx="11">
                  <c:v>242.8</c:v>
                </c:pt>
                <c:pt idx="12">
                  <c:v>11.2</c:v>
                </c:pt>
                <c:pt idx="13">
                  <c:v>356.4</c:v>
                </c:pt>
                <c:pt idx="14">
                  <c:v>271</c:v>
                </c:pt>
                <c:pt idx="15">
                  <c:v>-0.30000000000000004</c:v>
                </c:pt>
                <c:pt idx="16">
                  <c:v>113901.1</c:v>
                </c:pt>
              </c:numCache>
            </c:numRef>
          </c:val>
        </c:ser>
        <c:dLbls/>
        <c:overlap val="100"/>
        <c:axId val="53746688"/>
        <c:axId val="54285056"/>
      </c:barChart>
      <c:catAx>
        <c:axId val="5374668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285056"/>
        <c:crosses val="autoZero"/>
        <c:auto val="1"/>
        <c:lblAlgn val="ctr"/>
        <c:lblOffset val="100"/>
      </c:catAx>
      <c:valAx>
        <c:axId val="54285056"/>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746688"/>
        <c:crosses val="autoZero"/>
        <c:crossBetween val="between"/>
      </c:valAx>
      <c:spPr>
        <a:noFill/>
        <a:ln>
          <a:noFill/>
        </a:ln>
        <a:effectLst/>
      </c:spPr>
    </c:plotArea>
    <c:legend>
      <c:legendPos val="b"/>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Исполнение расходов от плана в % за 2023 год</a:t>
            </a:r>
          </a:p>
        </c:rich>
      </c:tx>
      <c:layout/>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6.6061100796409047E-2"/>
          <c:y val="0.17094086959089061"/>
          <c:w val="0.9031103854985999"/>
          <c:h val="0.72237484915711969"/>
        </c:manualLayout>
      </c:layout>
      <c:pie3DChart>
        <c:varyColors val="1"/>
        <c:ser>
          <c:idx val="0"/>
          <c:order val="0"/>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Лист3!$B$7:$B$17</c:f>
            </c:numRef>
          </c:val>
        </c:ser>
        <c:ser>
          <c:idx val="1"/>
          <c:order val="1"/>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Лист3!$C$7:$C$17</c:f>
            </c:numRef>
          </c:val>
        </c:ser>
        <c:ser>
          <c:idx val="2"/>
          <c:order val="2"/>
          <c:spPr>
            <a:effectLst>
              <a:innerShdw blurRad="38100" dist="50800" dir="2700000">
                <a:prstClr val="black">
                  <a:alpha val="50000"/>
                </a:prstClr>
              </a:innerShdw>
            </a:effectLst>
            <a:scene3d>
              <a:camera prst="orthographicFront"/>
              <a:lightRig rig="threePt" dir="t"/>
            </a:scene3d>
            <a:sp3d prstMaterial="softEdge">
              <a:bevelB/>
              <a:contourClr>
                <a:srgbClr val="000000"/>
              </a:contourClr>
            </a:sp3d>
          </c:spPr>
          <c:explosion val="57"/>
          <c:dPt>
            <c:idx val="0"/>
            <c:spPr>
              <a:solidFill>
                <a:schemeClr val="accent1"/>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1"/>
            <c:spPr>
              <a:solidFill>
                <a:schemeClr val="accent2"/>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2"/>
            <c:spPr>
              <a:solidFill>
                <a:schemeClr val="accent3"/>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3"/>
            <c:spPr>
              <a:solidFill>
                <a:schemeClr val="accent4"/>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4"/>
            <c:spPr>
              <a:solidFill>
                <a:schemeClr val="accent5"/>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5"/>
            <c:spPr>
              <a:solidFill>
                <a:schemeClr val="accent6"/>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6"/>
            <c:spPr>
              <a:solidFill>
                <a:schemeClr val="accent1">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7"/>
            <c:spPr>
              <a:solidFill>
                <a:schemeClr val="accent2">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8"/>
            <c:spPr>
              <a:solidFill>
                <a:schemeClr val="accent3">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9"/>
            <c:spPr>
              <a:solidFill>
                <a:schemeClr val="accent4">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10"/>
            <c:spPr>
              <a:solidFill>
                <a:schemeClr val="accent5">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Lbls>
            <c:dLbl>
              <c:idx val="0"/>
              <c:layout>
                <c:manualLayout>
                  <c:x val="1.090571676467761E-2"/>
                  <c:y val="6.7129901470983867E-3"/>
                </c:manualLayout>
              </c:layout>
              <c:showVal val="1"/>
              <c:showCatName val="1"/>
              <c:extLst>
                <c:ext xmlns:c15="http://schemas.microsoft.com/office/drawing/2012/chart" uri="{CE6537A1-D6FC-4f65-9D91-7224C49458BB}"/>
              </c:extLst>
            </c:dLbl>
            <c:dLbl>
              <c:idx val="1"/>
              <c:layout>
                <c:manualLayout>
                  <c:x val="-2.3975064621974455E-2"/>
                  <c:y val="-3.2062746231654574E-2"/>
                </c:manualLayout>
              </c:layout>
              <c:showVal val="1"/>
              <c:showCatName val="1"/>
              <c:extLst>
                <c:ext xmlns:c15="http://schemas.microsoft.com/office/drawing/2012/chart" uri="{CE6537A1-D6FC-4f65-9D91-7224C49458BB}"/>
              </c:extLst>
            </c:dLbl>
            <c:dLbl>
              <c:idx val="2"/>
              <c:layout>
                <c:manualLayout>
                  <c:x val="-1.1852505848401395E-2"/>
                  <c:y val="0.11957684454651075"/>
                </c:manualLayout>
              </c:layout>
              <c:showVal val="1"/>
              <c:showCatName val="1"/>
              <c:extLst>
                <c:ext xmlns:c15="http://schemas.microsoft.com/office/drawing/2012/chart" uri="{CE6537A1-D6FC-4f65-9D91-7224C49458BB}"/>
              </c:extLst>
            </c:dLbl>
            <c:dLbl>
              <c:idx val="3"/>
              <c:layout>
                <c:manualLayout>
                  <c:x val="-5.5478753987073526E-2"/>
                  <c:y val="9.0082696159640083E-2"/>
                </c:manualLayout>
              </c:layout>
              <c:showVal val="1"/>
              <c:showCatName val="1"/>
              <c:extLst>
                <c:ext xmlns:c15="http://schemas.microsoft.com/office/drawing/2012/chart" uri="{CE6537A1-D6FC-4f65-9D91-7224C49458BB}"/>
              </c:extLst>
            </c:dLbl>
            <c:dLbl>
              <c:idx val="4"/>
              <c:layout>
                <c:manualLayout>
                  <c:x val="-4.9616048027287234E-3"/>
                  <c:y val="1.4621486547910697E-2"/>
                </c:manualLayout>
              </c:layout>
              <c:showVal val="1"/>
              <c:showCatName val="1"/>
              <c:extLst>
                <c:ext xmlns:c15="http://schemas.microsoft.com/office/drawing/2012/chart" uri="{CE6537A1-D6FC-4f65-9D91-7224C49458BB}"/>
              </c:extLst>
            </c:dLbl>
            <c:dLbl>
              <c:idx val="6"/>
              <c:layout>
                <c:manualLayout>
                  <c:x val="3.108287495136447E-2"/>
                  <c:y val="3.4531314618424083E-2"/>
                </c:manualLayout>
              </c:layout>
              <c:showVal val="1"/>
              <c:showCatName val="1"/>
              <c:extLst>
                <c:ext xmlns:c15="http://schemas.microsoft.com/office/drawing/2012/chart" uri="{CE6537A1-D6FC-4f65-9D91-7224C49458BB}"/>
              </c:extLst>
            </c:dLbl>
            <c:dLbl>
              <c:idx val="8"/>
              <c:layout>
                <c:manualLayout>
                  <c:x val="-6.6578666113672261E-3"/>
                  <c:y val="-0.13944216611808374"/>
                </c:manualLayout>
              </c:layout>
              <c:showVal val="1"/>
              <c:showCatName val="1"/>
              <c:extLst>
                <c:ext xmlns:c15="http://schemas.microsoft.com/office/drawing/2012/chart" uri="{CE6537A1-D6FC-4f65-9D91-7224C49458BB}"/>
              </c:extLst>
            </c:dLbl>
            <c:dLbl>
              <c:idx val="9"/>
              <c:layout>
                <c:manualLayout>
                  <c:x val="4.6162144804545845E-3"/>
                  <c:y val="-2.6878400092714538E-2"/>
                </c:manualLayout>
              </c:layout>
              <c:showVal val="1"/>
              <c:showCatName val="1"/>
              <c:extLst>
                <c:ext xmlns:c15="http://schemas.microsoft.com/office/drawing/2012/chart" uri="{CE6537A1-D6FC-4f65-9D91-7224C49458BB}"/>
              </c:extLst>
            </c:dLbl>
            <c:dLbl>
              <c:idx val="10"/>
              <c:layout>
                <c:manualLayout>
                  <c:x val="-1.9531285219582945E-2"/>
                  <c:y val="-1.4781445549052665E-2"/>
                </c:manualLayout>
              </c:layout>
              <c:showVal val="1"/>
              <c:showCatNam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showCatName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Лист3!$D$7:$D$17</c:f>
              <c:numCache>
                <c:formatCode>0.00</c:formatCode>
                <c:ptCount val="11"/>
                <c:pt idx="0">
                  <c:v>94.278061151796635</c:v>
                </c:pt>
                <c:pt idx="1">
                  <c:v>100</c:v>
                </c:pt>
                <c:pt idx="2">
                  <c:v>97.468354430379762</c:v>
                </c:pt>
                <c:pt idx="3">
                  <c:v>89.9271379266266</c:v>
                </c:pt>
                <c:pt idx="4">
                  <c:v>77.788690893784178</c:v>
                </c:pt>
                <c:pt idx="5">
                  <c:v>5.0923936398796732</c:v>
                </c:pt>
                <c:pt idx="6">
                  <c:v>97.793337832626264</c:v>
                </c:pt>
                <c:pt idx="7">
                  <c:v>14.545932069844874</c:v>
                </c:pt>
                <c:pt idx="8">
                  <c:v>94.213444213444205</c:v>
                </c:pt>
                <c:pt idx="9">
                  <c:v>99.289660615627483</c:v>
                </c:pt>
                <c:pt idx="10">
                  <c:v>100</c:v>
                </c:pt>
              </c:numCache>
            </c:numRef>
          </c:val>
        </c:ser>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 исполнения расходов к 2022 году</a:t>
            </a:r>
          </a:p>
        </c:rich>
      </c:tx>
      <c:layout/>
      <c:spPr>
        <a:noFill/>
        <a:ln>
          <a:noFill/>
        </a:ln>
        <a:effectLst/>
      </c:spPr>
    </c:title>
    <c:plotArea>
      <c:layout>
        <c:manualLayout>
          <c:layoutTarget val="inner"/>
          <c:xMode val="edge"/>
          <c:yMode val="edge"/>
          <c:x val="0.3411270732115933"/>
          <c:y val="0.13251104229731905"/>
          <c:w val="0.37335532828705897"/>
          <c:h val="0.4258680744057573"/>
        </c:manualLayout>
      </c:layout>
      <c:doughnutChart>
        <c:varyColors val="1"/>
        <c:ser>
          <c:idx val="0"/>
          <c:order val="0"/>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Лист4!$B$8:$B$17</c:f>
            </c:numRef>
          </c:val>
        </c:ser>
        <c:ser>
          <c:idx val="1"/>
          <c:order val="1"/>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Лист4!$C$8:$C$17</c:f>
            </c:numRef>
          </c:val>
        </c:ser>
        <c:ser>
          <c:idx val="2"/>
          <c:order val="2"/>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Лист4!$D$8:$D$17</c:f>
            </c:numRef>
          </c:val>
        </c:ser>
        <c:ser>
          <c:idx val="3"/>
          <c:order val="3"/>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Лист4!$E$8:$E$17</c:f>
            </c:numRef>
          </c:val>
        </c:ser>
        <c:ser>
          <c:idx val="4"/>
          <c:order val="4"/>
          <c:explosion val="22"/>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Pt>
            <c:idx val="5"/>
            <c:spPr>
              <a:solidFill>
                <a:schemeClr val="accent6"/>
              </a:solidFill>
              <a:ln w="19050">
                <a:solidFill>
                  <a:schemeClr val="lt1"/>
                </a:solidFill>
              </a:ln>
              <a:effectLst/>
            </c:spPr>
          </c:dPt>
          <c:dPt>
            <c:idx val="6"/>
            <c:spPr>
              <a:solidFill>
                <a:schemeClr val="accent1">
                  <a:lumMod val="60000"/>
                </a:schemeClr>
              </a:solidFill>
              <a:ln w="19050">
                <a:solidFill>
                  <a:schemeClr val="lt1"/>
                </a:solidFill>
              </a:ln>
              <a:effectLst/>
            </c:spPr>
          </c:dPt>
          <c:dPt>
            <c:idx val="7"/>
            <c:spPr>
              <a:solidFill>
                <a:schemeClr val="accent2">
                  <a:lumMod val="60000"/>
                </a:schemeClr>
              </a:solidFill>
              <a:ln w="19050">
                <a:solidFill>
                  <a:schemeClr val="lt1"/>
                </a:solidFill>
              </a:ln>
              <a:effectLst/>
            </c:spPr>
          </c:dPt>
          <c:dPt>
            <c:idx val="8"/>
            <c:spPr>
              <a:solidFill>
                <a:schemeClr val="accent3">
                  <a:lumMod val="60000"/>
                </a:schemeClr>
              </a:solidFill>
              <a:ln w="19050">
                <a:solidFill>
                  <a:schemeClr val="lt1"/>
                </a:solidFill>
              </a:ln>
              <a:effectLst/>
            </c:spPr>
          </c:dPt>
          <c:dPt>
            <c:idx val="9"/>
            <c:spPr>
              <a:solidFill>
                <a:schemeClr val="accent4">
                  <a:lumMod val="60000"/>
                </a:schemeClr>
              </a:solidFill>
              <a:ln w="19050">
                <a:solidFill>
                  <a:schemeClr val="lt1"/>
                </a:solidFill>
              </a:ln>
              <a:effectLst/>
            </c:spPr>
          </c:dPt>
          <c:dLbls>
            <c:dLbl>
              <c:idx val="0"/>
              <c:layout>
                <c:manualLayout>
                  <c:x val="-0.10395889007465776"/>
                  <c:y val="-7.7214745150084543E-2"/>
                </c:manualLayout>
              </c:layout>
              <c:showVal val="1"/>
              <c:extLst>
                <c:ext xmlns:c15="http://schemas.microsoft.com/office/drawing/2012/chart" uri="{CE6537A1-D6FC-4f65-9D91-7224C49458BB}"/>
              </c:extLst>
            </c:dLbl>
            <c:dLbl>
              <c:idx val="1"/>
              <c:layout>
                <c:manualLayout>
                  <c:x val="-5.3188269340522572E-2"/>
                  <c:y val="-9.9276100907251585E-2"/>
                </c:manualLayout>
              </c:layout>
              <c:showVal val="1"/>
              <c:extLst>
                <c:ext xmlns:c15="http://schemas.microsoft.com/office/drawing/2012/chart" uri="{CE6537A1-D6FC-4f65-9D91-7224C49458BB}"/>
              </c:extLst>
            </c:dLbl>
            <c:dLbl>
              <c:idx val="2"/>
              <c:layout>
                <c:manualLayout>
                  <c:x val="-7.2529458191621697E-3"/>
                  <c:y val="-0.12961046507335619"/>
                </c:manualLayout>
              </c:layout>
              <c:showVal val="1"/>
              <c:extLst>
                <c:ext xmlns:c15="http://schemas.microsoft.com/office/drawing/2012/chart" uri="{CE6537A1-D6FC-4f65-9D91-7224C49458BB}"/>
              </c:extLst>
            </c:dLbl>
            <c:dLbl>
              <c:idx val="3"/>
              <c:layout>
                <c:manualLayout>
                  <c:x val="4.3517674914973027E-2"/>
                  <c:y val="-0.10203377037689745"/>
                </c:manualLayout>
              </c:layout>
              <c:showVal val="1"/>
              <c:extLst>
                <c:ext xmlns:c15="http://schemas.microsoft.com/office/drawing/2012/chart" uri="{CE6537A1-D6FC-4f65-9D91-7224C49458BB}"/>
              </c:extLst>
            </c:dLbl>
            <c:dLbl>
              <c:idx val="4"/>
              <c:layout>
                <c:manualLayout>
                  <c:x val="7.4947106798009075E-2"/>
                  <c:y val="-9.1003092498313967E-2"/>
                </c:manualLayout>
              </c:layout>
              <c:showVal val="1"/>
              <c:extLst>
                <c:ext xmlns:c15="http://schemas.microsoft.com/office/drawing/2012/chart" uri="{CE6537A1-D6FC-4f65-9D91-7224C49458BB}"/>
              </c:extLst>
            </c:dLbl>
            <c:dLbl>
              <c:idx val="5"/>
              <c:layout>
                <c:manualLayout>
                  <c:x val="0.10879418728743265"/>
                  <c:y val="-3.3092033635750515E-2"/>
                </c:manualLayout>
              </c:layout>
              <c:showVal val="1"/>
              <c:extLst>
                <c:ext xmlns:c15="http://schemas.microsoft.com/office/drawing/2012/chart" uri="{CE6537A1-D6FC-4f65-9D91-7224C49458BB}"/>
              </c:extLst>
            </c:dLbl>
            <c:dLbl>
              <c:idx val="6"/>
              <c:layout>
                <c:manualLayout>
                  <c:x val="9.1870647042720799E-2"/>
                  <c:y val="4.136504204468814E-2"/>
                </c:manualLayout>
              </c:layout>
              <c:showVal val="1"/>
              <c:extLst>
                <c:ext xmlns:c15="http://schemas.microsoft.com/office/drawing/2012/chart" uri="{CE6537A1-D6FC-4f65-9D91-7224C49458BB}"/>
              </c:extLst>
            </c:dLbl>
            <c:dLbl>
              <c:idx val="7"/>
              <c:layout>
                <c:manualLayout>
                  <c:x val="-0.1015412414682704"/>
                  <c:y val="1.9303686287521136E-2"/>
                </c:manualLayout>
              </c:layout>
              <c:showVal val="1"/>
              <c:extLst>
                <c:ext xmlns:c15="http://schemas.microsoft.com/office/drawing/2012/chart" uri="{CE6537A1-D6FC-4f65-9D91-7224C49458BB}"/>
              </c:extLst>
            </c:dLbl>
            <c:dLbl>
              <c:idx val="8"/>
              <c:layout>
                <c:manualLayout>
                  <c:x val="-0.10637653868104519"/>
                  <c:y val="-1.1030677878583505E-2"/>
                </c:manualLayout>
              </c:layout>
              <c:showVal val="1"/>
              <c:extLst>
                <c:ext xmlns:c15="http://schemas.microsoft.com/office/drawing/2012/chart" uri="{CE6537A1-D6FC-4f65-9D91-7224C49458BB}"/>
              </c:extLst>
            </c:dLbl>
            <c:dLbl>
              <c:idx val="9"/>
              <c:layout>
                <c:manualLayout>
                  <c:x val="-0.11604713310659469"/>
                  <c:y val="-4.1365042044688168E-2"/>
                </c:manualLayout>
              </c:layout>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Лист4!$F$8:$F$17</c:f>
              <c:numCache>
                <c:formatCode>0.0</c:formatCode>
                <c:ptCount val="10"/>
                <c:pt idx="0">
                  <c:v>101.79968677019455</c:v>
                </c:pt>
                <c:pt idx="1">
                  <c:v>114.55794371814758</c:v>
                </c:pt>
                <c:pt idx="2">
                  <c:v>110.11798355380766</c:v>
                </c:pt>
                <c:pt idx="3">
                  <c:v>4.008165604754419</c:v>
                </c:pt>
                <c:pt idx="4">
                  <c:v>117.81456531440594</c:v>
                </c:pt>
                <c:pt idx="5">
                  <c:v>0.6070875550893533</c:v>
                </c:pt>
                <c:pt idx="6">
                  <c:v>688.07767319596348</c:v>
                </c:pt>
                <c:pt idx="7">
                  <c:v>949.45528949842378</c:v>
                </c:pt>
                <c:pt idx="8">
                  <c:v>459.29054054054046</c:v>
                </c:pt>
                <c:pt idx="9">
                  <c:v>110.92761770906537</c:v>
                </c:pt>
              </c:numCache>
            </c:numRef>
          </c:val>
        </c:ser>
        <c:dLbls/>
        <c:firstSliceAng val="0"/>
        <c:holeSize val="26"/>
      </c:doughnutChart>
      <c:spPr>
        <a:noFill/>
        <a:ln>
          <a:noFill/>
        </a:ln>
        <a:effectLst/>
      </c:spPr>
    </c:plotArea>
    <c:legend>
      <c:legendPos val="b"/>
      <c:layout/>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ru-RU"/>
              <a:t>Исполнено по муниципальным программам</a:t>
            </a:r>
          </a:p>
          <a:p>
            <a:pPr>
              <a:defRPr b="0" i="0" u="none" strike="noStrike" kern="1200" baseline="0">
                <a:solidFill>
                  <a:schemeClr val="dk1">
                    <a:lumMod val="65000"/>
                    <a:lumOff val="35000"/>
                  </a:schemeClr>
                </a:solidFill>
                <a:effectLst/>
                <a:latin typeface="+mn-lt"/>
                <a:ea typeface="+mn-ea"/>
                <a:cs typeface="+mn-cs"/>
              </a:defRPr>
            </a:pPr>
            <a:r>
              <a:rPr lang="ru-RU"/>
              <a:t> за 2023 год</a:t>
            </a:r>
          </a:p>
        </c:rich>
      </c:tx>
      <c:layout/>
      <c:spPr>
        <a:noFill/>
        <a:ln>
          <a:noFill/>
        </a:ln>
        <a:effectLst/>
      </c:spPr>
    </c:title>
    <c:plotArea>
      <c:layout>
        <c:manualLayout>
          <c:layoutTarget val="inner"/>
          <c:xMode val="edge"/>
          <c:yMode val="edge"/>
          <c:x val="2.1462104457921322E-2"/>
          <c:y val="0.118666689318385"/>
          <c:w val="0.96065280849381118"/>
          <c:h val="0.50915934319433898"/>
        </c:manualLayout>
      </c:layout>
      <c:barChart>
        <c:barDir val="col"/>
        <c:grouping val="clustered"/>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inEnd"/>
            <c:showVal val="1"/>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Лист5!$B$5:$B$12</c:f>
              <c:strCache>
                <c:ptCount val="8"/>
                <c:pt idx="0">
                  <c:v>МП "Развитие образования, молодежной политики и физической культуры и спорта в муниципальном образовании""</c:v>
                </c:pt>
                <c:pt idx="1">
                  <c:v>МП "Развитие культуры в муниципальном образовании"</c:v>
                </c:pt>
                <c:pt idx="2">
                  <c:v>МП "Содействие экономическому развитию и инвестиционной привлекательности муниципального образования"</c:v>
                </c:pt>
                <c:pt idx="3">
                  <c:v>МП "Обеспечение безопасности граждан на территории муниципального образования"</c:v>
                </c:pt>
                <c:pt idx="4">
                  <c:v>МП "Комплексное развитие систем коммунальной инфраструктуры и благоустройства муниципального образования"</c:v>
                </c:pt>
                <c:pt idx="5">
                  <c:v> МП "Развитие транспортного обслуживания населения на территории муниципального образования"</c:v>
                </c:pt>
                <c:pt idx="6">
                  <c:v>МП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c:v>
                </c:pt>
                <c:pt idx="7">
                  <c:v>Непрограммные расходы</c:v>
                </c:pt>
              </c:strCache>
            </c:strRef>
          </c:cat>
          <c:val>
            <c:numRef>
              <c:f>Лист5!$C$5:$C$12</c:f>
            </c:numRef>
          </c:val>
        </c:ser>
        <c:ser>
          <c:idx val="1"/>
          <c:order val="1"/>
          <c:spPr>
            <a:blipFill>
              <a:blip xmlns:r="http://schemas.openxmlformats.org/officeDocument/2006/relationships" r:embed="rId1"/>
              <a:tile tx="0" ty="0" sx="100000" sy="100000" flip="none" algn="tl"/>
            </a:blipFill>
            <a:ln>
              <a:noFill/>
            </a:ln>
            <a:effectLst>
              <a:innerShdw blurRad="63500" dist="50800" dir="13500000">
                <a:prstClr val="black">
                  <a:alpha val="50000"/>
                </a:prstClr>
              </a:innerShdw>
              <a:softEdge rad="31750"/>
            </a:effectLst>
            <a:scene3d>
              <a:camera prst="orthographicFront"/>
              <a:lightRig rig="threePt" dir="t"/>
            </a:scene3d>
            <a:sp3d>
              <a:bevelT/>
            </a:sp3d>
          </c:spPr>
          <c:pictureOptions>
            <c:pictureFormat val="stack"/>
          </c:pictureOptions>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Val val="1"/>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Лист5!$B$5:$B$12</c:f>
              <c:strCache>
                <c:ptCount val="8"/>
                <c:pt idx="0">
                  <c:v>МП "Развитие образования, молодежной политики и физической культуры и спорта в муниципальном образовании""</c:v>
                </c:pt>
                <c:pt idx="1">
                  <c:v>МП "Развитие культуры в муниципальном образовании"</c:v>
                </c:pt>
                <c:pt idx="2">
                  <c:v>МП "Содействие экономическому развитию и инвестиционной привлекательности муниципального образования"</c:v>
                </c:pt>
                <c:pt idx="3">
                  <c:v>МП "Обеспечение безопасности граждан на территории муниципального образования"</c:v>
                </c:pt>
                <c:pt idx="4">
                  <c:v>МП "Комплексное развитие систем коммунальной инфраструктуры и благоустройства муниципального образования"</c:v>
                </c:pt>
                <c:pt idx="5">
                  <c:v> МП "Развитие транспортного обслуживания населения на территории муниципального образования"</c:v>
                </c:pt>
                <c:pt idx="6">
                  <c:v>МП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c:v>
                </c:pt>
                <c:pt idx="7">
                  <c:v>Непрограммные расходы</c:v>
                </c:pt>
              </c:strCache>
            </c:strRef>
          </c:cat>
          <c:val>
            <c:numRef>
              <c:f>Лист5!$D$5:$D$12</c:f>
              <c:numCache>
                <c:formatCode>General</c:formatCode>
                <c:ptCount val="8"/>
                <c:pt idx="0">
                  <c:v>83943.9</c:v>
                </c:pt>
                <c:pt idx="1">
                  <c:v>17169.900000000001</c:v>
                </c:pt>
                <c:pt idx="2">
                  <c:v>2</c:v>
                </c:pt>
                <c:pt idx="3">
                  <c:v>3723.8</c:v>
                </c:pt>
                <c:pt idx="4">
                  <c:v>5721.5</c:v>
                </c:pt>
                <c:pt idx="5">
                  <c:v>13948.1</c:v>
                </c:pt>
                <c:pt idx="6">
                  <c:v>33764.6</c:v>
                </c:pt>
                <c:pt idx="7">
                  <c:v>2173.3000000000002</c:v>
                </c:pt>
              </c:numCache>
            </c:numRef>
          </c:val>
        </c:ser>
        <c:dLbls>
          <c:showVal val="1"/>
        </c:dLbls>
        <c:gapWidth val="41"/>
        <c:axId val="54710656"/>
        <c:axId val="54712192"/>
      </c:barChart>
      <c:catAx>
        <c:axId val="54710656"/>
        <c:scaling>
          <c:orientation val="minMax"/>
        </c:scaling>
        <c:axPos val="b"/>
        <c:numFmt formatCode="General" sourceLinked="1"/>
        <c:majorTickMark val="none"/>
        <c:tickLblPos val="nextTo"/>
        <c:spPr>
          <a:noFill/>
          <a:ln>
            <a:noFill/>
          </a:ln>
          <a:effectLst/>
        </c:spPr>
        <c:txPr>
          <a:bodyPr rot="-5400000" spcFirstLastPara="1" vertOverflow="ellipsis" wrap="square" anchor="ctr" anchorCtr="1"/>
          <a:lstStyle/>
          <a:p>
            <a:pPr>
              <a:defRPr sz="800" b="0" i="0" u="none" strike="noStrike" kern="1200" baseline="0">
                <a:solidFill>
                  <a:schemeClr val="tx1"/>
                </a:solidFill>
                <a:effectLst/>
                <a:latin typeface="+mn-lt"/>
                <a:ea typeface="+mn-ea"/>
                <a:cs typeface="+mn-cs"/>
              </a:defRPr>
            </a:pPr>
            <a:endParaRPr lang="ru-RU"/>
          </a:p>
        </c:txPr>
        <c:crossAx val="54712192"/>
        <c:crosses val="autoZero"/>
        <c:auto val="1"/>
        <c:lblAlgn val="ctr"/>
        <c:lblOffset val="100"/>
      </c:catAx>
      <c:valAx>
        <c:axId val="54712192"/>
        <c:scaling>
          <c:orientation val="minMax"/>
        </c:scaling>
        <c:delete val="1"/>
        <c:axPos val="l"/>
        <c:numFmt formatCode="General" sourceLinked="1"/>
        <c:majorTickMark val="none"/>
        <c:tickLblPos val="nextTo"/>
        <c:crossAx val="54710656"/>
        <c:crosses val="autoZero"/>
        <c:crossBetween val="between"/>
      </c:valAx>
      <c:spPr>
        <a:solidFill>
          <a:schemeClr val="bg1"/>
        </a:solidFill>
        <a:ln>
          <a:noFill/>
        </a:ln>
        <a:effectLst/>
      </c:spPr>
    </c:plotArea>
    <c:plotVisOnly val="1"/>
    <c:dispBlanksAs val="gap"/>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ru-RU"/>
    </a:p>
  </c:txPr>
  <c:externalData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14</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dc:creator>
  <cp:keywords/>
  <dc:description/>
  <cp:lastModifiedBy>Наталья</cp:lastModifiedBy>
  <cp:revision>21</cp:revision>
  <dcterms:created xsi:type="dcterms:W3CDTF">2024-02-21T11:53:00Z</dcterms:created>
  <dcterms:modified xsi:type="dcterms:W3CDTF">2024-04-25T09:00:00Z</dcterms:modified>
</cp:coreProperties>
</file>