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BB27C5">
        <w:rPr>
          <w:rFonts w:ascii="Times New Roman" w:eastAsia="Times New Roman" w:hAnsi="Times New Roman" w:cs="Times New Roman"/>
          <w:color w:val="000000"/>
          <w:sz w:val="24"/>
          <w:szCs w:val="24"/>
          <w:lang w:eastAsia="ru-RU"/>
        </w:rPr>
        <w:t>Показатели бюджетной отчетности за 2023 год сформированы в соответствии с требованиями Инструкции о порядке составления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(с учетом изменений),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года № 33н (с учетом изменений и дополнений).</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BB27C5">
        <w:rPr>
          <w:rFonts w:ascii="Times New Roman" w:eastAsia="Times New Roman" w:hAnsi="Times New Roman" w:cs="Times New Roman"/>
          <w:color w:val="000000"/>
          <w:sz w:val="24"/>
          <w:szCs w:val="24"/>
          <w:lang w:eastAsia="ru-RU"/>
        </w:rPr>
        <w:t>Сроки представления годовой отчетности за 2023 год утверждены приказом Комитета по финансам Псковской области от 26.12.2023 года № ФН/11-4265.</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BB27C5">
        <w:rPr>
          <w:rFonts w:ascii="Times New Roman" w:eastAsia="Times New Roman" w:hAnsi="Times New Roman" w:cs="Times New Roman"/>
          <w:color w:val="000000"/>
          <w:sz w:val="24"/>
          <w:szCs w:val="24"/>
          <w:lang w:eastAsia="ru-RU"/>
        </w:rPr>
        <w:t>Сроки предоставления годовой отчетности учреждениями Красногородского района установлены приказом Финансового управления Администрации Красногородского района от 27.12.2023 года № 55.</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 xml:space="preserve">Бюджет Красногородского муниципального района на 2023 год и плановый период 2023-2025 годов утвержден Решением Собрания депутатов № 25 от 28 декабря 2022 года. </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 xml:space="preserve">Первоначально бюджет на 2023 год был принят со следующими основными характеристиками: </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    общий объем доходов в сумме 146090 тыс. рублей;</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    общий объем расходов в сумме 147016 тыс. рублей.</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Исполнение бюджета было запланировано с дефицитом в размере 926 тыс. рублей.</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За 2023 год финансовым управлением подготовлено 6 проектов о внесении изменений в бюджет МО «Красногородский район».</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Уточненные основные характеристики бюджета на 2023 год имеют следующие значения:</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 xml:space="preserve">-    общий объем доходов в сумме </w:t>
      </w:r>
      <w:r w:rsidRPr="00BB27C5">
        <w:rPr>
          <w:rFonts w:ascii="Calibri" w:eastAsia="Times New Roman" w:hAnsi="Calibri" w:cs="Calibri"/>
          <w:color w:val="000000"/>
          <w:sz w:val="24"/>
          <w:szCs w:val="24"/>
          <w:lang w:eastAsia="ru-RU"/>
        </w:rPr>
        <w:t>174380,9</w:t>
      </w:r>
      <w:r w:rsidRPr="00BB27C5">
        <w:rPr>
          <w:rFonts w:ascii="Times New Roman" w:eastAsia="Times New Roman" w:hAnsi="Times New Roman" w:cs="Times New Roman"/>
          <w:color w:val="000000"/>
          <w:sz w:val="24"/>
          <w:szCs w:val="24"/>
          <w:lang w:eastAsia="ru-RU"/>
        </w:rPr>
        <w:t xml:space="preserve"> тыс. рублей;</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 xml:space="preserve">-    общий объем расходов в сумме </w:t>
      </w:r>
      <w:r w:rsidRPr="00BB27C5">
        <w:rPr>
          <w:rFonts w:ascii="Calibri" w:eastAsia="Times New Roman" w:hAnsi="Calibri" w:cs="Calibri"/>
          <w:color w:val="000000"/>
          <w:sz w:val="24"/>
          <w:szCs w:val="24"/>
          <w:lang w:eastAsia="ru-RU"/>
        </w:rPr>
        <w:t xml:space="preserve">176326,9 </w:t>
      </w:r>
      <w:r w:rsidRPr="00BB27C5">
        <w:rPr>
          <w:rFonts w:ascii="Times New Roman" w:eastAsia="Times New Roman" w:hAnsi="Times New Roman" w:cs="Times New Roman"/>
          <w:color w:val="000000"/>
          <w:sz w:val="24"/>
          <w:szCs w:val="24"/>
          <w:lang w:eastAsia="ru-RU"/>
        </w:rPr>
        <w:t>тыс. рублей;</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 xml:space="preserve">-    дефицит бюджета в сумме 1946 тыс. рублей. </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 xml:space="preserve">В результате внесенных изменений и дополнений в бюджет МО «Красногородский район» доходная часть бюджета по сравнению с первоначальными значениями увеличилась на 28290,9 тыс. рублей, расходная часть бюджета по сравнению с первоначальными значениями увеличилась на 2910,9 тыс. рублей. </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 </w:t>
      </w:r>
    </w:p>
    <w:tbl>
      <w:tblPr>
        <w:tblW w:w="9960" w:type="dxa"/>
        <w:jc w:val="center"/>
        <w:tblCellMar>
          <w:left w:w="0" w:type="dxa"/>
          <w:right w:w="0" w:type="dxa"/>
        </w:tblCellMar>
        <w:tblLook w:val="0000" w:firstRow="0" w:lastRow="0" w:firstColumn="0" w:lastColumn="0" w:noHBand="0" w:noVBand="0"/>
      </w:tblPr>
      <w:tblGrid>
        <w:gridCol w:w="4175"/>
        <w:gridCol w:w="1344"/>
        <w:gridCol w:w="1417"/>
        <w:gridCol w:w="1418"/>
        <w:gridCol w:w="1606"/>
      </w:tblGrid>
      <w:tr w:rsidR="00BB27C5" w:rsidRPr="00BB27C5" w:rsidTr="00BB27C5">
        <w:trPr>
          <w:jc w:val="center"/>
        </w:trPr>
        <w:tc>
          <w:tcPr>
            <w:tcW w:w="4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Наименование показателя</w:t>
            </w:r>
          </w:p>
        </w:tc>
        <w:tc>
          <w:tcPr>
            <w:tcW w:w="57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2023 год</w:t>
            </w:r>
          </w:p>
        </w:tc>
      </w:tr>
      <w:tr w:rsidR="00BB27C5" w:rsidRPr="00BB27C5" w:rsidTr="00BB27C5">
        <w:trPr>
          <w:jc w:val="center"/>
        </w:trPr>
        <w:tc>
          <w:tcPr>
            <w:tcW w:w="4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sz w:val="24"/>
                <w:szCs w:val="24"/>
                <w:lang w:eastAsia="ru-RU"/>
              </w:rPr>
              <w:t xml:space="preserve"> </w:t>
            </w:r>
          </w:p>
        </w:tc>
        <w:tc>
          <w:tcPr>
            <w:tcW w:w="13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уточненный</w:t>
            </w:r>
            <w:proofErr w:type="gramEnd"/>
            <w:r w:rsidRPr="00BB27C5">
              <w:rPr>
                <w:rFonts w:ascii="Times New Roman" w:eastAsia="Times New Roman" w:hAnsi="Times New Roman" w:cs="Times New Roman"/>
                <w:color w:val="000000"/>
                <w:sz w:val="20"/>
                <w:szCs w:val="24"/>
                <w:lang w:eastAsia="ru-RU"/>
              </w:rPr>
              <w:t xml:space="preserve"> план</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исполнено</w:t>
            </w:r>
            <w:proofErr w:type="gramEnd"/>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 исполнения плана</w:t>
            </w:r>
          </w:p>
        </w:tc>
        <w:tc>
          <w:tcPr>
            <w:tcW w:w="1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proofErr w:type="spellStart"/>
            <w:r w:rsidRPr="00BB27C5">
              <w:rPr>
                <w:rFonts w:ascii="Times New Roman" w:eastAsia="Times New Roman" w:hAnsi="Times New Roman" w:cs="Times New Roman"/>
                <w:color w:val="000000"/>
                <w:sz w:val="20"/>
                <w:szCs w:val="24"/>
                <w:lang w:eastAsia="ru-RU"/>
              </w:rPr>
              <w:t>Уд.вес</w:t>
            </w:r>
            <w:proofErr w:type="spellEnd"/>
            <w:r w:rsidRPr="00BB27C5">
              <w:rPr>
                <w:rFonts w:ascii="Times New Roman" w:eastAsia="Times New Roman" w:hAnsi="Times New Roman" w:cs="Times New Roman"/>
                <w:color w:val="000000"/>
                <w:sz w:val="20"/>
                <w:szCs w:val="24"/>
                <w:lang w:eastAsia="ru-RU"/>
              </w:rPr>
              <w:t xml:space="preserve"> в общем объеме доходов (%)</w:t>
            </w:r>
          </w:p>
        </w:tc>
      </w:tr>
      <w:tr w:rsidR="00BB27C5" w:rsidRPr="00BB27C5" w:rsidTr="00BB27C5">
        <w:trPr>
          <w:trHeight w:val="367"/>
          <w:jc w:val="center"/>
        </w:trPr>
        <w:tc>
          <w:tcPr>
            <w:tcW w:w="4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 xml:space="preserve">Общий объем доходов, </w:t>
            </w:r>
            <w:proofErr w:type="spellStart"/>
            <w:r w:rsidRPr="00BB27C5">
              <w:rPr>
                <w:rFonts w:ascii="Times New Roman" w:eastAsia="Times New Roman" w:hAnsi="Times New Roman" w:cs="Times New Roman"/>
                <w:b/>
                <w:color w:val="000000"/>
                <w:sz w:val="20"/>
                <w:szCs w:val="24"/>
                <w:lang w:eastAsia="ru-RU"/>
              </w:rPr>
              <w:t>тыс.руб</w:t>
            </w:r>
            <w:proofErr w:type="spellEnd"/>
            <w:r w:rsidRPr="00BB27C5">
              <w:rPr>
                <w:rFonts w:ascii="Times New Roman" w:eastAsia="Times New Roman" w:hAnsi="Times New Roman" w:cs="Times New Roman"/>
                <w:b/>
                <w:color w:val="000000"/>
                <w:sz w:val="20"/>
                <w:szCs w:val="24"/>
                <w:lang w:eastAsia="ru-RU"/>
              </w:rPr>
              <w:t xml:space="preserve">., в </w:t>
            </w:r>
            <w:proofErr w:type="spellStart"/>
            <w:r w:rsidRPr="00BB27C5">
              <w:rPr>
                <w:rFonts w:ascii="Times New Roman" w:eastAsia="Times New Roman" w:hAnsi="Times New Roman" w:cs="Times New Roman"/>
                <w:b/>
                <w:color w:val="000000"/>
                <w:sz w:val="20"/>
                <w:szCs w:val="24"/>
                <w:lang w:eastAsia="ru-RU"/>
              </w:rPr>
              <w:t>т.ч</w:t>
            </w:r>
            <w:proofErr w:type="spellEnd"/>
            <w:r w:rsidRPr="00BB27C5">
              <w:rPr>
                <w:rFonts w:ascii="Times New Roman" w:eastAsia="Times New Roman" w:hAnsi="Times New Roman" w:cs="Times New Roman"/>
                <w:b/>
                <w:color w:val="000000"/>
                <w:sz w:val="20"/>
                <w:szCs w:val="24"/>
                <w:lang w:eastAsia="ru-RU"/>
              </w:rPr>
              <w:t>.</w:t>
            </w:r>
          </w:p>
        </w:tc>
        <w:tc>
          <w:tcPr>
            <w:tcW w:w="13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174381,2</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163765,8</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93,9</w:t>
            </w:r>
          </w:p>
        </w:tc>
        <w:tc>
          <w:tcPr>
            <w:tcW w:w="1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 </w:t>
            </w:r>
          </w:p>
        </w:tc>
      </w:tr>
      <w:tr w:rsidR="00BB27C5" w:rsidRPr="00BB27C5" w:rsidTr="00BB27C5">
        <w:trPr>
          <w:trHeight w:val="415"/>
          <w:jc w:val="center"/>
        </w:trPr>
        <w:tc>
          <w:tcPr>
            <w:tcW w:w="4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 xml:space="preserve">Общий объем налоговых и неналоговых доходов, </w:t>
            </w:r>
            <w:proofErr w:type="spellStart"/>
            <w:r w:rsidRPr="00BB27C5">
              <w:rPr>
                <w:rFonts w:ascii="Times New Roman" w:eastAsia="Times New Roman" w:hAnsi="Times New Roman" w:cs="Times New Roman"/>
                <w:color w:val="000000"/>
                <w:sz w:val="20"/>
                <w:szCs w:val="24"/>
                <w:lang w:eastAsia="ru-RU"/>
              </w:rPr>
              <w:t>тыс.руб</w:t>
            </w:r>
            <w:proofErr w:type="spellEnd"/>
            <w:r w:rsidRPr="00BB27C5">
              <w:rPr>
                <w:rFonts w:ascii="Times New Roman" w:eastAsia="Times New Roman" w:hAnsi="Times New Roman" w:cs="Times New Roman"/>
                <w:color w:val="000000"/>
                <w:sz w:val="20"/>
                <w:szCs w:val="24"/>
                <w:lang w:eastAsia="ru-RU"/>
              </w:rPr>
              <w:t>.</w:t>
            </w:r>
          </w:p>
        </w:tc>
        <w:tc>
          <w:tcPr>
            <w:tcW w:w="13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40570</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ind w:right="40"/>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49864,6</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122,9</w:t>
            </w:r>
          </w:p>
        </w:tc>
        <w:tc>
          <w:tcPr>
            <w:tcW w:w="1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30,4</w:t>
            </w:r>
          </w:p>
        </w:tc>
      </w:tr>
      <w:tr w:rsidR="00BB27C5" w:rsidRPr="00BB27C5" w:rsidTr="00BB27C5">
        <w:trPr>
          <w:trHeight w:val="520"/>
          <w:jc w:val="center"/>
        </w:trPr>
        <w:tc>
          <w:tcPr>
            <w:tcW w:w="4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 xml:space="preserve">Общий объем безвозмездных поступлений, </w:t>
            </w:r>
            <w:proofErr w:type="spellStart"/>
            <w:r w:rsidRPr="00BB27C5">
              <w:rPr>
                <w:rFonts w:ascii="Times New Roman" w:eastAsia="Times New Roman" w:hAnsi="Times New Roman" w:cs="Times New Roman"/>
                <w:color w:val="000000"/>
                <w:sz w:val="20"/>
                <w:szCs w:val="24"/>
                <w:lang w:eastAsia="ru-RU"/>
              </w:rPr>
              <w:t>тыс.руб</w:t>
            </w:r>
            <w:proofErr w:type="spellEnd"/>
            <w:r w:rsidRPr="00BB27C5">
              <w:rPr>
                <w:rFonts w:ascii="Times New Roman" w:eastAsia="Times New Roman" w:hAnsi="Times New Roman" w:cs="Times New Roman"/>
                <w:color w:val="000000"/>
                <w:sz w:val="20"/>
                <w:szCs w:val="24"/>
                <w:lang w:eastAsia="ru-RU"/>
              </w:rPr>
              <w:t>.</w:t>
            </w:r>
          </w:p>
        </w:tc>
        <w:tc>
          <w:tcPr>
            <w:tcW w:w="13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133811,2</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113901,1</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85,1</w:t>
            </w:r>
          </w:p>
        </w:tc>
        <w:tc>
          <w:tcPr>
            <w:tcW w:w="1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69,6</w:t>
            </w:r>
          </w:p>
        </w:tc>
      </w:tr>
      <w:tr w:rsidR="00BB27C5" w:rsidRPr="00BB27C5" w:rsidTr="00BB27C5">
        <w:trPr>
          <w:trHeight w:val="272"/>
          <w:jc w:val="center"/>
        </w:trPr>
        <w:tc>
          <w:tcPr>
            <w:tcW w:w="4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 xml:space="preserve">Общий объем расходов, </w:t>
            </w:r>
            <w:proofErr w:type="spellStart"/>
            <w:r w:rsidRPr="00BB27C5">
              <w:rPr>
                <w:rFonts w:ascii="Times New Roman" w:eastAsia="Times New Roman" w:hAnsi="Times New Roman" w:cs="Times New Roman"/>
                <w:b/>
                <w:color w:val="000000"/>
                <w:sz w:val="20"/>
                <w:szCs w:val="24"/>
                <w:lang w:eastAsia="ru-RU"/>
              </w:rPr>
              <w:t>тыс.руб</w:t>
            </w:r>
            <w:proofErr w:type="spellEnd"/>
            <w:r w:rsidRPr="00BB27C5">
              <w:rPr>
                <w:rFonts w:ascii="Times New Roman" w:eastAsia="Times New Roman" w:hAnsi="Times New Roman" w:cs="Times New Roman"/>
                <w:b/>
                <w:color w:val="000000"/>
                <w:sz w:val="20"/>
                <w:szCs w:val="24"/>
                <w:lang w:eastAsia="ru-RU"/>
              </w:rPr>
              <w:t>.</w:t>
            </w:r>
          </w:p>
        </w:tc>
        <w:tc>
          <w:tcPr>
            <w:tcW w:w="13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176327,2</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160446,2</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91</w:t>
            </w:r>
          </w:p>
        </w:tc>
        <w:tc>
          <w:tcPr>
            <w:tcW w:w="1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 </w:t>
            </w:r>
          </w:p>
        </w:tc>
      </w:tr>
      <w:tr w:rsidR="00BB27C5" w:rsidRPr="00BB27C5" w:rsidTr="00BB27C5">
        <w:trPr>
          <w:jc w:val="center"/>
        </w:trPr>
        <w:tc>
          <w:tcPr>
            <w:tcW w:w="4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Д Е Ф И Ц И Т(-) /</w:t>
            </w:r>
          </w:p>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П Р О Ф И Ц И Т(+)</w:t>
            </w:r>
          </w:p>
        </w:tc>
        <w:tc>
          <w:tcPr>
            <w:tcW w:w="13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-1946</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3319,6</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х</w:t>
            </w:r>
            <w:proofErr w:type="gramEnd"/>
          </w:p>
        </w:tc>
        <w:tc>
          <w:tcPr>
            <w:tcW w:w="1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 </w:t>
            </w:r>
          </w:p>
        </w:tc>
      </w:tr>
    </w:tbl>
    <w:p w:rsidR="00BB27C5" w:rsidRPr="00BB27C5" w:rsidRDefault="00BB27C5" w:rsidP="00BB27C5">
      <w:pPr>
        <w:autoSpaceDE w:val="0"/>
        <w:autoSpaceDN w:val="0"/>
        <w:adjustRightInd w:val="0"/>
        <w:spacing w:after="0" w:line="240" w:lineRule="auto"/>
        <w:ind w:firstLine="36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4"/>
          <w:szCs w:val="24"/>
          <w:lang w:eastAsia="ru-RU"/>
        </w:rPr>
        <w:t> </w:t>
      </w:r>
    </w:p>
    <w:p w:rsidR="00BB27C5" w:rsidRPr="00BB27C5" w:rsidRDefault="00BB27C5" w:rsidP="00BB27C5">
      <w:pPr>
        <w:autoSpaceDE w:val="0"/>
        <w:autoSpaceDN w:val="0"/>
        <w:adjustRightInd w:val="0"/>
        <w:spacing w:after="0" w:line="240" w:lineRule="auto"/>
        <w:ind w:firstLine="360"/>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 </w:t>
      </w:r>
    </w:p>
    <w:p w:rsidR="00BB27C5" w:rsidRPr="00BB27C5" w:rsidRDefault="00BB27C5" w:rsidP="00BB27C5">
      <w:pPr>
        <w:autoSpaceDE w:val="0"/>
        <w:autoSpaceDN w:val="0"/>
        <w:adjustRightInd w:val="0"/>
        <w:spacing w:after="0" w:line="240" w:lineRule="auto"/>
        <w:ind w:firstLine="360"/>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4"/>
          <w:szCs w:val="24"/>
          <w:lang w:eastAsia="ru-RU"/>
        </w:rPr>
        <w:t>Доходы</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 </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Доходы бюджета Красногородского района сформированы из налоговых и неналоговых доходов, безвозмездных поступлений из областного бюджета в виде дотаций, субсидий, субвенций и иных межбюджетных трансфертов.</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lastRenderedPageBreak/>
        <w:t>Доходная часть бюджета муниципального образования «Красногородский район» за 2023 год исполнена на 93,9 %. При плане 174381,2 тыс. рублей за отчетный год доходов поступило в сумме 163765,8 тыс. рублей.   </w:t>
      </w:r>
    </w:p>
    <w:p w:rsidR="00BB27C5" w:rsidRPr="00BB27C5" w:rsidRDefault="00BB27C5" w:rsidP="00BB27C5">
      <w:pPr>
        <w:autoSpaceDE w:val="0"/>
        <w:autoSpaceDN w:val="0"/>
        <w:adjustRightInd w:val="0"/>
        <w:spacing w:after="0" w:line="240" w:lineRule="auto"/>
        <w:ind w:firstLine="28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В структуре общего объема доходов, доля налоговых и неналоговых доходов бюджета в 2023 году составила 30,4 процента, безвозмездные поступления составили 85,1 %.</w:t>
      </w:r>
    </w:p>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  </w:t>
      </w:r>
    </w:p>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Структура доходов муниципального образования «Красногородский район»</w:t>
      </w:r>
    </w:p>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
    <w:tbl>
      <w:tblPr>
        <w:tblW w:w="8544" w:type="dxa"/>
        <w:tblInd w:w="93" w:type="dxa"/>
        <w:tblCellMar>
          <w:left w:w="0" w:type="dxa"/>
          <w:right w:w="0" w:type="dxa"/>
        </w:tblCellMar>
        <w:tblLook w:val="0000" w:firstRow="0" w:lastRow="0" w:firstColumn="0" w:lastColumn="0" w:noHBand="0" w:noVBand="0"/>
      </w:tblPr>
      <w:tblGrid>
        <w:gridCol w:w="5000"/>
        <w:gridCol w:w="1843"/>
        <w:gridCol w:w="1701"/>
      </w:tblGrid>
      <w:tr w:rsidR="00BB27C5" w:rsidRPr="00BB27C5" w:rsidTr="00BB27C5">
        <w:trPr>
          <w:trHeight w:val="300"/>
        </w:trPr>
        <w:tc>
          <w:tcPr>
            <w:tcW w:w="50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 </w:t>
            </w:r>
          </w:p>
        </w:tc>
        <w:tc>
          <w:tcPr>
            <w:tcW w:w="18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исполнено</w:t>
            </w:r>
            <w:proofErr w:type="gramEnd"/>
            <w:r w:rsidRPr="00BB27C5">
              <w:rPr>
                <w:rFonts w:ascii="Times New Roman" w:eastAsia="Times New Roman" w:hAnsi="Times New Roman" w:cs="Times New Roman"/>
                <w:color w:val="000000"/>
                <w:sz w:val="20"/>
                <w:szCs w:val="24"/>
                <w:lang w:eastAsia="ru-RU"/>
              </w:rPr>
              <w:t xml:space="preserve"> 2023г.</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удельный</w:t>
            </w:r>
            <w:proofErr w:type="gramEnd"/>
            <w:r w:rsidRPr="00BB27C5">
              <w:rPr>
                <w:rFonts w:ascii="Times New Roman" w:eastAsia="Times New Roman" w:hAnsi="Times New Roman" w:cs="Times New Roman"/>
                <w:color w:val="000000"/>
                <w:sz w:val="20"/>
                <w:szCs w:val="24"/>
                <w:lang w:eastAsia="ru-RU"/>
              </w:rPr>
              <w:t xml:space="preserve"> вес, %</w:t>
            </w:r>
          </w:p>
        </w:tc>
      </w:tr>
      <w:tr w:rsidR="00BB27C5" w:rsidRPr="00BB27C5" w:rsidTr="00BB27C5">
        <w:trPr>
          <w:trHeight w:val="300"/>
        </w:trPr>
        <w:tc>
          <w:tcPr>
            <w:tcW w:w="5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налог</w:t>
            </w:r>
            <w:proofErr w:type="gramEnd"/>
            <w:r w:rsidRPr="00BB27C5">
              <w:rPr>
                <w:rFonts w:ascii="Times New Roman" w:eastAsia="Times New Roman" w:hAnsi="Times New Roman" w:cs="Times New Roman"/>
                <w:color w:val="000000"/>
                <w:sz w:val="20"/>
                <w:szCs w:val="24"/>
                <w:lang w:eastAsia="ru-RU"/>
              </w:rPr>
              <w:t xml:space="preserve"> на доходы физических лиц</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27180,9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16,6</w:t>
            </w:r>
          </w:p>
        </w:tc>
      </w:tr>
      <w:tr w:rsidR="00BB27C5" w:rsidRPr="00BB27C5" w:rsidTr="00BB27C5">
        <w:trPr>
          <w:trHeight w:val="300"/>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акцизы</w:t>
            </w:r>
            <w:proofErr w:type="gramEnd"/>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8570,1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5,2</w:t>
            </w:r>
          </w:p>
        </w:tc>
      </w:tr>
      <w:tr w:rsidR="00BB27C5" w:rsidRPr="00BB27C5" w:rsidTr="00BB27C5">
        <w:trPr>
          <w:trHeight w:val="540"/>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упрощенная</w:t>
            </w:r>
            <w:proofErr w:type="gramEnd"/>
            <w:r w:rsidRPr="00BB27C5">
              <w:rPr>
                <w:rFonts w:ascii="Times New Roman" w:eastAsia="Times New Roman" w:hAnsi="Times New Roman" w:cs="Times New Roman"/>
                <w:color w:val="000000"/>
                <w:sz w:val="20"/>
                <w:szCs w:val="24"/>
                <w:lang w:eastAsia="ru-RU"/>
              </w:rPr>
              <w:t xml:space="preserve"> система налогообложения</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1775,3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1,08</w:t>
            </w:r>
          </w:p>
        </w:tc>
      </w:tr>
      <w:tr w:rsidR="00BB27C5" w:rsidRPr="00BB27C5" w:rsidTr="00BB27C5">
        <w:trPr>
          <w:trHeight w:val="300"/>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патент</w:t>
            </w:r>
            <w:proofErr w:type="gramEnd"/>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90,9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0,06</w:t>
            </w:r>
          </w:p>
        </w:tc>
      </w:tr>
      <w:tr w:rsidR="00BB27C5" w:rsidRPr="00BB27C5" w:rsidTr="00BB27C5">
        <w:trPr>
          <w:trHeight w:val="225"/>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единый</w:t>
            </w:r>
            <w:proofErr w:type="gramEnd"/>
            <w:r w:rsidRPr="00BB27C5">
              <w:rPr>
                <w:rFonts w:ascii="Times New Roman" w:eastAsia="Times New Roman" w:hAnsi="Times New Roman" w:cs="Times New Roman"/>
                <w:color w:val="000000"/>
                <w:sz w:val="20"/>
                <w:szCs w:val="24"/>
                <w:lang w:eastAsia="ru-RU"/>
              </w:rPr>
              <w:t xml:space="preserve"> налог на вмененный доход</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-11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0,00</w:t>
            </w:r>
          </w:p>
        </w:tc>
      </w:tr>
      <w:tr w:rsidR="00BB27C5" w:rsidRPr="00BB27C5" w:rsidTr="00BB27C5">
        <w:trPr>
          <w:trHeight w:val="365"/>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гос</w:t>
            </w:r>
            <w:r>
              <w:rPr>
                <w:rFonts w:ascii="Times New Roman" w:eastAsia="Times New Roman" w:hAnsi="Times New Roman" w:cs="Times New Roman"/>
                <w:color w:val="000000"/>
                <w:sz w:val="20"/>
                <w:szCs w:val="24"/>
                <w:lang w:eastAsia="ru-RU"/>
              </w:rPr>
              <w:t>ударственная</w:t>
            </w:r>
            <w:proofErr w:type="gramEnd"/>
            <w:r w:rsidRPr="00BB27C5">
              <w:rPr>
                <w:rFonts w:ascii="Times New Roman" w:eastAsia="Times New Roman" w:hAnsi="Times New Roman" w:cs="Times New Roman"/>
                <w:color w:val="000000"/>
                <w:sz w:val="20"/>
                <w:szCs w:val="24"/>
                <w:lang w:eastAsia="ru-RU"/>
              </w:rPr>
              <w:t xml:space="preserve"> пошлина</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421,6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0,26</w:t>
            </w:r>
          </w:p>
        </w:tc>
      </w:tr>
      <w:tr w:rsidR="00BB27C5" w:rsidRPr="00BB27C5" w:rsidTr="00BB27C5">
        <w:trPr>
          <w:trHeight w:val="445"/>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единый</w:t>
            </w:r>
            <w:proofErr w:type="gramEnd"/>
            <w:r w:rsidRPr="00BB27C5">
              <w:rPr>
                <w:rFonts w:ascii="Times New Roman" w:eastAsia="Times New Roman" w:hAnsi="Times New Roman" w:cs="Times New Roman"/>
                <w:color w:val="000000"/>
                <w:sz w:val="20"/>
                <w:szCs w:val="24"/>
                <w:lang w:eastAsia="ru-RU"/>
              </w:rPr>
              <w:t xml:space="preserve"> с/х налог</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6,8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0,0</w:t>
            </w:r>
          </w:p>
        </w:tc>
      </w:tr>
      <w:tr w:rsidR="00BB27C5" w:rsidRPr="00BB27C5" w:rsidTr="00BB27C5">
        <w:trPr>
          <w:trHeight w:val="320"/>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Итого налоговые доходы:</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38034,6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23,22</w:t>
            </w:r>
          </w:p>
        </w:tc>
      </w:tr>
      <w:tr w:rsidR="00BB27C5" w:rsidRPr="00BB27C5" w:rsidTr="00BB27C5">
        <w:trPr>
          <w:trHeight w:val="369"/>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платежи</w:t>
            </w:r>
            <w:proofErr w:type="gramEnd"/>
            <w:r w:rsidRPr="00BB27C5">
              <w:rPr>
                <w:rFonts w:ascii="Times New Roman" w:eastAsia="Times New Roman" w:hAnsi="Times New Roman" w:cs="Times New Roman"/>
                <w:color w:val="000000"/>
                <w:sz w:val="20"/>
                <w:szCs w:val="24"/>
                <w:lang w:eastAsia="ru-RU"/>
              </w:rPr>
              <w:t xml:space="preserve"> при пользовании природными ресурсами</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242,8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0,15</w:t>
            </w:r>
          </w:p>
        </w:tc>
      </w:tr>
      <w:tr w:rsidR="00BB27C5" w:rsidRPr="00BB27C5" w:rsidTr="00BB27C5">
        <w:trPr>
          <w:trHeight w:val="567"/>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От оказания платных услуг и компенсации затрат государства</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10134,7</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6,19</w:t>
            </w:r>
          </w:p>
        </w:tc>
      </w:tr>
      <w:tr w:rsidR="00BB27C5" w:rsidRPr="00BB27C5" w:rsidTr="00BB27C5">
        <w:trPr>
          <w:trHeight w:val="300"/>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от</w:t>
            </w:r>
            <w:proofErr w:type="gramEnd"/>
            <w:r w:rsidRPr="00BB27C5">
              <w:rPr>
                <w:rFonts w:ascii="Times New Roman" w:eastAsia="Times New Roman" w:hAnsi="Times New Roman" w:cs="Times New Roman"/>
                <w:color w:val="000000"/>
                <w:sz w:val="20"/>
                <w:szCs w:val="24"/>
                <w:lang w:eastAsia="ru-RU"/>
              </w:rPr>
              <w:t xml:space="preserve"> использования имущества</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814,2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0,5</w:t>
            </w:r>
          </w:p>
        </w:tc>
      </w:tr>
      <w:tr w:rsidR="00BB27C5" w:rsidRPr="00BB27C5" w:rsidTr="00BB27C5">
        <w:trPr>
          <w:trHeight w:val="225"/>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от</w:t>
            </w:r>
            <w:proofErr w:type="gramEnd"/>
            <w:r w:rsidRPr="00BB27C5">
              <w:rPr>
                <w:rFonts w:ascii="Times New Roman" w:eastAsia="Times New Roman" w:hAnsi="Times New Roman" w:cs="Times New Roman"/>
                <w:color w:val="000000"/>
                <w:sz w:val="20"/>
                <w:szCs w:val="24"/>
                <w:lang w:eastAsia="ru-RU"/>
              </w:rPr>
              <w:t xml:space="preserve"> продажи материальных и нематериальных активов</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367,6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0,22</w:t>
            </w:r>
          </w:p>
        </w:tc>
      </w:tr>
      <w:tr w:rsidR="00BB27C5" w:rsidRPr="00BB27C5" w:rsidTr="00BB27C5">
        <w:trPr>
          <w:trHeight w:val="299"/>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штрафы</w:t>
            </w:r>
            <w:proofErr w:type="gramEnd"/>
            <w:r w:rsidRPr="00BB27C5">
              <w:rPr>
                <w:rFonts w:ascii="Times New Roman" w:eastAsia="Times New Roman" w:hAnsi="Times New Roman" w:cs="Times New Roman"/>
                <w:color w:val="000000"/>
                <w:sz w:val="20"/>
                <w:szCs w:val="24"/>
                <w:lang w:eastAsia="ru-RU"/>
              </w:rPr>
              <w:t>, санкции, возмещение ущерба</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271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0,17</w:t>
            </w:r>
          </w:p>
        </w:tc>
      </w:tr>
      <w:tr w:rsidR="00BB27C5" w:rsidRPr="00BB27C5" w:rsidTr="00BB27C5">
        <w:trPr>
          <w:trHeight w:val="404"/>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проч. неналоговые доходы</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-0,3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0,0</w:t>
            </w:r>
          </w:p>
        </w:tc>
      </w:tr>
      <w:tr w:rsidR="00BB27C5" w:rsidRPr="00BB27C5" w:rsidTr="00BB27C5">
        <w:trPr>
          <w:trHeight w:val="254"/>
        </w:trPr>
        <w:tc>
          <w:tcPr>
            <w:tcW w:w="5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Итого неналоговые доходы:</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11830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7,22</w:t>
            </w:r>
          </w:p>
        </w:tc>
      </w:tr>
      <w:tr w:rsidR="00BB27C5" w:rsidRPr="00BB27C5" w:rsidTr="00BB27C5">
        <w:trPr>
          <w:trHeight w:val="271"/>
        </w:trPr>
        <w:tc>
          <w:tcPr>
            <w:tcW w:w="5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Собственные доходы всего:</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49864,6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30,45</w:t>
            </w:r>
          </w:p>
        </w:tc>
      </w:tr>
      <w:tr w:rsidR="00BB27C5" w:rsidRPr="00BB27C5" w:rsidTr="00BB27C5">
        <w:trPr>
          <w:trHeight w:val="353"/>
        </w:trPr>
        <w:tc>
          <w:tcPr>
            <w:tcW w:w="5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дотации</w:t>
            </w:r>
            <w:proofErr w:type="gramEnd"/>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51506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31,45</w:t>
            </w:r>
          </w:p>
        </w:tc>
      </w:tr>
      <w:tr w:rsidR="00BB27C5" w:rsidRPr="00BB27C5" w:rsidTr="00BB27C5">
        <w:trPr>
          <w:trHeight w:val="300"/>
        </w:trPr>
        <w:tc>
          <w:tcPr>
            <w:tcW w:w="5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субсидии</w:t>
            </w:r>
            <w:proofErr w:type="gramEnd"/>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18051,7</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11,02</w:t>
            </w:r>
          </w:p>
        </w:tc>
      </w:tr>
      <w:tr w:rsidR="00BB27C5" w:rsidRPr="00BB27C5" w:rsidTr="00BB27C5">
        <w:trPr>
          <w:trHeight w:val="300"/>
        </w:trPr>
        <w:tc>
          <w:tcPr>
            <w:tcW w:w="5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субвенции</w:t>
            </w:r>
            <w:proofErr w:type="gramEnd"/>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48702,6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29,74</w:t>
            </w:r>
          </w:p>
        </w:tc>
      </w:tr>
      <w:tr w:rsidR="00BB27C5" w:rsidRPr="00BB27C5" w:rsidTr="00BB27C5">
        <w:trPr>
          <w:trHeight w:val="300"/>
        </w:trPr>
        <w:tc>
          <w:tcPr>
            <w:tcW w:w="5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иные</w:t>
            </w:r>
            <w:proofErr w:type="gramEnd"/>
            <w:r w:rsidRPr="00BB27C5">
              <w:rPr>
                <w:rFonts w:ascii="Times New Roman" w:eastAsia="Times New Roman" w:hAnsi="Times New Roman" w:cs="Times New Roman"/>
                <w:color w:val="000000"/>
                <w:sz w:val="20"/>
                <w:szCs w:val="24"/>
                <w:lang w:eastAsia="ru-RU"/>
              </w:rPr>
              <w:t xml:space="preserve"> МБТ</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5627,5</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3,44</w:t>
            </w:r>
          </w:p>
        </w:tc>
      </w:tr>
      <w:tr w:rsidR="00BB27C5" w:rsidRPr="00BB27C5" w:rsidTr="00BB27C5">
        <w:trPr>
          <w:trHeight w:val="300"/>
        </w:trPr>
        <w:tc>
          <w:tcPr>
            <w:tcW w:w="5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BB27C5">
              <w:rPr>
                <w:rFonts w:ascii="Times New Roman" w:eastAsia="Times New Roman" w:hAnsi="Times New Roman" w:cs="Times New Roman"/>
                <w:color w:val="000000"/>
                <w:sz w:val="20"/>
                <w:szCs w:val="24"/>
                <w:lang w:eastAsia="ru-RU"/>
              </w:rPr>
              <w:t>возврат</w:t>
            </w:r>
            <w:proofErr w:type="gramEnd"/>
            <w:r w:rsidRPr="00BB27C5">
              <w:rPr>
                <w:rFonts w:ascii="Times New Roman" w:eastAsia="Times New Roman" w:hAnsi="Times New Roman" w:cs="Times New Roman"/>
                <w:color w:val="000000"/>
                <w:sz w:val="20"/>
                <w:szCs w:val="24"/>
                <w:lang w:eastAsia="ru-RU"/>
              </w:rPr>
              <w:t xml:space="preserve"> субсидий прошлых лет</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-9986,7</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0,0</w:t>
            </w:r>
          </w:p>
        </w:tc>
      </w:tr>
      <w:tr w:rsidR="00BB27C5" w:rsidRPr="00BB27C5" w:rsidTr="00BB27C5">
        <w:trPr>
          <w:trHeight w:val="300"/>
        </w:trPr>
        <w:tc>
          <w:tcPr>
            <w:tcW w:w="5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Итого безвозмездные поступления:</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113901,1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69,55</w:t>
            </w:r>
          </w:p>
        </w:tc>
      </w:tr>
      <w:tr w:rsidR="00BB27C5" w:rsidRPr="00BB27C5" w:rsidTr="00BB27C5">
        <w:trPr>
          <w:trHeight w:val="300"/>
        </w:trPr>
        <w:tc>
          <w:tcPr>
            <w:tcW w:w="5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Всего доход:</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163765,8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BB27C5" w:rsidRPr="00BB27C5" w:rsidRDefault="00BB27C5" w:rsidP="00BB27C5">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B27C5">
              <w:rPr>
                <w:rFonts w:ascii="Times New Roman" w:eastAsia="Times New Roman" w:hAnsi="Times New Roman" w:cs="Times New Roman"/>
                <w:b/>
                <w:color w:val="000000"/>
                <w:sz w:val="20"/>
                <w:szCs w:val="24"/>
                <w:lang w:eastAsia="ru-RU"/>
              </w:rPr>
              <w:t>100,0</w:t>
            </w:r>
          </w:p>
        </w:tc>
      </w:tr>
    </w:tbl>
    <w:p w:rsidR="00BB27C5" w:rsidRDefault="00BB27C5" w:rsidP="00BB27C5">
      <w:pPr>
        <w:shd w:val="clear" w:color="auto" w:fill="FFFFFF"/>
        <w:autoSpaceDE w:val="0"/>
        <w:autoSpaceDN w:val="0"/>
        <w:adjustRightInd w:val="0"/>
        <w:spacing w:after="0" w:line="240" w:lineRule="auto"/>
        <w:ind w:right="40" w:firstLine="420"/>
        <w:jc w:val="both"/>
        <w:rPr>
          <w:rFonts w:ascii="Times New Roman" w:eastAsia="Times New Roman" w:hAnsi="Times New Roman" w:cs="Times New Roman"/>
          <w:color w:val="000000"/>
          <w:sz w:val="20"/>
          <w:szCs w:val="24"/>
          <w:lang w:eastAsia="ru-RU"/>
        </w:rPr>
      </w:pPr>
    </w:p>
    <w:p w:rsidR="00BB27C5" w:rsidRDefault="00BB27C5" w:rsidP="00BB27C5">
      <w:pPr>
        <w:shd w:val="clear" w:color="auto" w:fill="FFFFFF"/>
        <w:autoSpaceDE w:val="0"/>
        <w:autoSpaceDN w:val="0"/>
        <w:adjustRightInd w:val="0"/>
        <w:spacing w:after="0" w:line="240" w:lineRule="auto"/>
        <w:ind w:right="40" w:firstLine="420"/>
        <w:jc w:val="both"/>
        <w:rPr>
          <w:rFonts w:ascii="Times New Roman" w:eastAsia="Times New Roman" w:hAnsi="Times New Roman" w:cs="Times New Roman"/>
          <w:color w:val="000000"/>
          <w:sz w:val="20"/>
          <w:szCs w:val="24"/>
          <w:lang w:eastAsia="ru-RU"/>
        </w:rPr>
      </w:pPr>
    </w:p>
    <w:p w:rsidR="00BB27C5" w:rsidRPr="00BB27C5" w:rsidRDefault="00BB27C5" w:rsidP="00BB27C5">
      <w:pPr>
        <w:shd w:val="clear" w:color="auto" w:fill="FFFFFF"/>
        <w:autoSpaceDE w:val="0"/>
        <w:autoSpaceDN w:val="0"/>
        <w:adjustRightInd w:val="0"/>
        <w:spacing w:after="0" w:line="240" w:lineRule="auto"/>
        <w:ind w:right="40" w:firstLine="42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0"/>
          <w:szCs w:val="24"/>
          <w:lang w:eastAsia="ru-RU"/>
        </w:rPr>
        <w:t> </w:t>
      </w:r>
    </w:p>
    <w:tbl>
      <w:tblPr>
        <w:tblW w:w="16920" w:type="dxa"/>
        <w:tblLook w:val="0000" w:firstRow="0" w:lastRow="0" w:firstColumn="0" w:lastColumn="0" w:noHBand="0" w:noVBand="0"/>
      </w:tblPr>
      <w:tblGrid>
        <w:gridCol w:w="9932"/>
        <w:gridCol w:w="4951"/>
        <w:gridCol w:w="938"/>
        <w:gridCol w:w="1099"/>
      </w:tblGrid>
      <w:tr w:rsidR="00BB27C5" w:rsidRPr="00BB27C5" w:rsidTr="001B47C1">
        <w:trPr>
          <w:trHeight w:val="300"/>
        </w:trPr>
        <w:tc>
          <w:tcPr>
            <w:tcW w:w="9932" w:type="dxa"/>
            <w:tcBorders>
              <w:top w:val="nil"/>
              <w:left w:val="nil"/>
              <w:bottom w:val="nil"/>
              <w:right w:val="nil"/>
            </w:tcBorders>
            <w:noWrap/>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 w:val="24"/>
                <w:szCs w:val="24"/>
                <w:lang w:eastAsia="ru-RU"/>
              </w:rPr>
              <w:t xml:space="preserve">Исполнение доходов к уточненному годовому плану </w:t>
            </w:r>
          </w:p>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
          <w:p w:rsidR="00F26B1D"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Cs w:val="24"/>
                <w:lang w:eastAsia="ru-RU"/>
              </w:rPr>
              <w:t> </w:t>
            </w:r>
          </w:p>
          <w:tbl>
            <w:tblPr>
              <w:tblW w:w="8420" w:type="dxa"/>
              <w:tblLook w:val="04A0" w:firstRow="1" w:lastRow="0" w:firstColumn="1" w:lastColumn="0" w:noHBand="0" w:noVBand="1"/>
            </w:tblPr>
            <w:tblGrid>
              <w:gridCol w:w="5720"/>
              <w:gridCol w:w="1360"/>
              <w:gridCol w:w="1340"/>
            </w:tblGrid>
            <w:tr w:rsidR="00F26B1D" w:rsidRPr="00F26B1D" w:rsidTr="00F26B1D">
              <w:trPr>
                <w:trHeight w:val="540"/>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F26B1D" w:rsidRPr="00F26B1D" w:rsidRDefault="00F26B1D" w:rsidP="00F26B1D">
                  <w:pPr>
                    <w:spacing w:after="0" w:line="240" w:lineRule="auto"/>
                    <w:jc w:val="center"/>
                    <w:rPr>
                      <w:rFonts w:ascii="Calibri" w:eastAsia="Times New Roman" w:hAnsi="Calibri" w:cs="Calibri"/>
                      <w:color w:val="000000"/>
                      <w:lang w:eastAsia="ru-RU"/>
                    </w:rPr>
                  </w:pPr>
                  <w:proofErr w:type="gramStart"/>
                  <w:r w:rsidRPr="00F26B1D">
                    <w:rPr>
                      <w:rFonts w:ascii="Calibri" w:eastAsia="Times New Roman" w:hAnsi="Calibri" w:cs="Calibri"/>
                      <w:color w:val="000000"/>
                      <w:lang w:eastAsia="ru-RU"/>
                    </w:rPr>
                    <w:t>уточненный</w:t>
                  </w:r>
                  <w:proofErr w:type="gramEnd"/>
                  <w:r w:rsidRPr="00F26B1D">
                    <w:rPr>
                      <w:rFonts w:ascii="Calibri" w:eastAsia="Times New Roman" w:hAnsi="Calibri" w:cs="Calibri"/>
                      <w:color w:val="000000"/>
                      <w:lang w:eastAsia="ru-RU"/>
                    </w:rPr>
                    <w:t xml:space="preserve"> план 2023 года</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F26B1D" w:rsidRPr="00F26B1D" w:rsidRDefault="00F26B1D" w:rsidP="00F26B1D">
                  <w:pPr>
                    <w:spacing w:after="0" w:line="240" w:lineRule="auto"/>
                    <w:jc w:val="center"/>
                    <w:rPr>
                      <w:rFonts w:ascii="Calibri" w:eastAsia="Times New Roman" w:hAnsi="Calibri" w:cs="Calibri"/>
                      <w:color w:val="000000"/>
                      <w:lang w:eastAsia="ru-RU"/>
                    </w:rPr>
                  </w:pPr>
                  <w:proofErr w:type="gramStart"/>
                  <w:r w:rsidRPr="00F26B1D">
                    <w:rPr>
                      <w:rFonts w:ascii="Calibri" w:eastAsia="Times New Roman" w:hAnsi="Calibri" w:cs="Calibri"/>
                      <w:color w:val="000000"/>
                      <w:lang w:eastAsia="ru-RU"/>
                    </w:rPr>
                    <w:t>исполнено</w:t>
                  </w:r>
                  <w:proofErr w:type="gramEnd"/>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Налог на доходы физ. лиц</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24512</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27180,9</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Акцизы</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7363</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8570,1</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proofErr w:type="spellStart"/>
                  <w:r w:rsidRPr="00F26B1D">
                    <w:rPr>
                      <w:rFonts w:ascii="Calibri" w:eastAsia="Times New Roman" w:hAnsi="Calibri" w:cs="Calibri"/>
                      <w:color w:val="000000"/>
                      <w:lang w:eastAsia="ru-RU"/>
                    </w:rPr>
                    <w:t>Упрощ</w:t>
                  </w:r>
                  <w:proofErr w:type="spellEnd"/>
                  <w:proofErr w:type="gramStart"/>
                  <w:r w:rsidRPr="00F26B1D">
                    <w:rPr>
                      <w:rFonts w:ascii="Calibri" w:eastAsia="Times New Roman" w:hAnsi="Calibri" w:cs="Calibri"/>
                      <w:color w:val="000000"/>
                      <w:lang w:eastAsia="ru-RU"/>
                    </w:rPr>
                    <w:t xml:space="preserve">. </w:t>
                  </w:r>
                  <w:proofErr w:type="spellStart"/>
                  <w:r w:rsidRPr="00F26B1D">
                    <w:rPr>
                      <w:rFonts w:ascii="Calibri" w:eastAsia="Times New Roman" w:hAnsi="Calibri" w:cs="Calibri"/>
                      <w:color w:val="000000"/>
                      <w:lang w:eastAsia="ru-RU"/>
                    </w:rPr>
                    <w:t>сист</w:t>
                  </w:r>
                  <w:proofErr w:type="spellEnd"/>
                  <w:proofErr w:type="gramEnd"/>
                  <w:r w:rsidRPr="00F26B1D">
                    <w:rPr>
                      <w:rFonts w:ascii="Calibri" w:eastAsia="Times New Roman" w:hAnsi="Calibri" w:cs="Calibri"/>
                      <w:color w:val="000000"/>
                      <w:lang w:eastAsia="ru-RU"/>
                    </w:rPr>
                    <w:t>. налогообложения</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1787</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1775,3</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Налог на вмененный доход</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0</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-11</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lastRenderedPageBreak/>
                    <w:t>Патент</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135</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90,9</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Единый с/х налог</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0</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6,8</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Гос. пошлина</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327</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421,6</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Аренда земли</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480</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507,1</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Аренда имущества</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100</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257,1</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Доходы от уставных капиталов</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190</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50</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 xml:space="preserve">Плат. </w:t>
                  </w:r>
                  <w:proofErr w:type="spellStart"/>
                  <w:r w:rsidRPr="00F26B1D">
                    <w:rPr>
                      <w:rFonts w:ascii="Calibri" w:eastAsia="Times New Roman" w:hAnsi="Calibri" w:cs="Calibri"/>
                      <w:color w:val="000000"/>
                      <w:lang w:eastAsia="ru-RU"/>
                    </w:rPr>
                    <w:t>припользов.прир</w:t>
                  </w:r>
                  <w:proofErr w:type="spellEnd"/>
                  <w:proofErr w:type="gramStart"/>
                  <w:r w:rsidRPr="00F26B1D">
                    <w:rPr>
                      <w:rFonts w:ascii="Calibri" w:eastAsia="Times New Roman" w:hAnsi="Calibri" w:cs="Calibri"/>
                      <w:color w:val="000000"/>
                      <w:lang w:eastAsia="ru-RU"/>
                    </w:rPr>
                    <w:t>. ресурсами</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113</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242,8</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 xml:space="preserve">Компенсации затрат и возмещение от </w:t>
                  </w:r>
                  <w:proofErr w:type="spellStart"/>
                  <w:r w:rsidRPr="00F26B1D">
                    <w:rPr>
                      <w:rFonts w:ascii="Calibri" w:eastAsia="Times New Roman" w:hAnsi="Calibri" w:cs="Calibri"/>
                      <w:color w:val="000000"/>
                      <w:lang w:eastAsia="ru-RU"/>
                    </w:rPr>
                    <w:t>эксплуат.имущества</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0</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10134,7</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Продажа имущества</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5470</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11,2</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Продажа земли</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50</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356,4</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Штрафы</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33</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271</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 xml:space="preserve">Проч. </w:t>
                  </w:r>
                  <w:proofErr w:type="spellStart"/>
                  <w:r w:rsidRPr="00F26B1D">
                    <w:rPr>
                      <w:rFonts w:ascii="Calibri" w:eastAsia="Times New Roman" w:hAnsi="Calibri" w:cs="Calibri"/>
                      <w:color w:val="000000"/>
                      <w:lang w:eastAsia="ru-RU"/>
                    </w:rPr>
                    <w:t>неналог</w:t>
                  </w:r>
                  <w:proofErr w:type="spellEnd"/>
                  <w:proofErr w:type="gramStart"/>
                  <w:r w:rsidRPr="00F26B1D">
                    <w:rPr>
                      <w:rFonts w:ascii="Calibri" w:eastAsia="Times New Roman" w:hAnsi="Calibri" w:cs="Calibri"/>
                      <w:color w:val="000000"/>
                      <w:lang w:eastAsia="ru-RU"/>
                    </w:rPr>
                    <w:t>. доходы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10</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-0,3</w:t>
                  </w:r>
                </w:p>
              </w:tc>
            </w:tr>
            <w:tr w:rsidR="00F26B1D" w:rsidRPr="00F26B1D" w:rsidTr="00F26B1D">
              <w:trPr>
                <w:trHeight w:val="30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rPr>
                      <w:rFonts w:ascii="Calibri" w:eastAsia="Times New Roman" w:hAnsi="Calibri" w:cs="Calibri"/>
                      <w:color w:val="000000"/>
                      <w:lang w:eastAsia="ru-RU"/>
                    </w:rPr>
                  </w:pPr>
                  <w:r w:rsidRPr="00F26B1D">
                    <w:rPr>
                      <w:rFonts w:ascii="Calibri" w:eastAsia="Times New Roman" w:hAnsi="Calibri" w:cs="Calibri"/>
                      <w:color w:val="000000"/>
                      <w:lang w:eastAsia="ru-RU"/>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40570</w:t>
                  </w:r>
                </w:p>
              </w:tc>
              <w:tc>
                <w:tcPr>
                  <w:tcW w:w="1340" w:type="dxa"/>
                  <w:tcBorders>
                    <w:top w:val="nil"/>
                    <w:left w:val="nil"/>
                    <w:bottom w:val="single" w:sz="4" w:space="0" w:color="auto"/>
                    <w:right w:val="single" w:sz="4" w:space="0" w:color="auto"/>
                  </w:tcBorders>
                  <w:shd w:val="clear" w:color="auto" w:fill="auto"/>
                  <w:noWrap/>
                  <w:vAlign w:val="bottom"/>
                  <w:hideMark/>
                </w:tcPr>
                <w:p w:rsidR="00F26B1D" w:rsidRPr="00F26B1D" w:rsidRDefault="00F26B1D" w:rsidP="00F26B1D">
                  <w:pPr>
                    <w:spacing w:after="0" w:line="240" w:lineRule="auto"/>
                    <w:jc w:val="right"/>
                    <w:rPr>
                      <w:rFonts w:ascii="Calibri" w:eastAsia="Times New Roman" w:hAnsi="Calibri" w:cs="Calibri"/>
                      <w:color w:val="000000"/>
                      <w:lang w:eastAsia="ru-RU"/>
                    </w:rPr>
                  </w:pPr>
                  <w:r w:rsidRPr="00F26B1D">
                    <w:rPr>
                      <w:rFonts w:ascii="Calibri" w:eastAsia="Times New Roman" w:hAnsi="Calibri" w:cs="Calibri"/>
                      <w:color w:val="000000"/>
                      <w:lang w:eastAsia="ru-RU"/>
                    </w:rPr>
                    <w:t>49864,6</w:t>
                  </w:r>
                </w:p>
              </w:tc>
            </w:tr>
          </w:tbl>
          <w:p w:rsidR="00BB27C5" w:rsidRPr="00BB27C5" w:rsidRDefault="00BB27C5" w:rsidP="00BB27C5">
            <w:pPr>
              <w:autoSpaceDE w:val="0"/>
              <w:autoSpaceDN w:val="0"/>
              <w:adjustRightInd w:val="0"/>
              <w:spacing w:after="0" w:line="240" w:lineRule="auto"/>
              <w:rPr>
                <w:rFonts w:ascii="Times New Roman" w:eastAsia="Times New Roman" w:hAnsi="Times New Roman" w:cs="Calibri"/>
                <w:sz w:val="24"/>
                <w:szCs w:val="24"/>
                <w:lang w:eastAsia="ru-RU"/>
              </w:rPr>
            </w:pPr>
          </w:p>
          <w:p w:rsidR="00BB27C5" w:rsidRPr="00BB27C5" w:rsidRDefault="00BB27C5" w:rsidP="00BB27C5">
            <w:pPr>
              <w:autoSpaceDE w:val="0"/>
              <w:autoSpaceDN w:val="0"/>
              <w:adjustRightInd w:val="0"/>
              <w:spacing w:after="0" w:line="240" w:lineRule="auto"/>
              <w:rPr>
                <w:rFonts w:ascii="Times New Roman" w:eastAsia="Times New Roman" w:hAnsi="Times New Roman" w:cs="Calibri"/>
                <w:color w:val="000000"/>
                <w:szCs w:val="24"/>
                <w:lang w:eastAsia="ru-RU"/>
              </w:rPr>
            </w:pPr>
            <w:r w:rsidRPr="00BB27C5">
              <w:rPr>
                <w:rFonts w:ascii="Times New Roman" w:eastAsia="Times New Roman" w:hAnsi="Times New Roman" w:cs="Times New Roman"/>
                <w:color w:val="000000"/>
                <w:szCs w:val="24"/>
                <w:lang w:eastAsia="ru-RU"/>
              </w:rPr>
              <w:t> </w:t>
            </w:r>
          </w:p>
          <w:p w:rsidR="00BB27C5" w:rsidRPr="00BB27C5" w:rsidRDefault="00BE6396" w:rsidP="00BB27C5">
            <w:pPr>
              <w:autoSpaceDE w:val="0"/>
              <w:autoSpaceDN w:val="0"/>
              <w:adjustRightInd w:val="0"/>
              <w:spacing w:after="0" w:line="240" w:lineRule="auto"/>
              <w:rPr>
                <w:rFonts w:ascii="Times New Roman" w:eastAsia="Times New Roman" w:hAnsi="Times New Roman" w:cs="Times New Roman"/>
                <w:color w:val="000000"/>
                <w:szCs w:val="24"/>
                <w:lang w:eastAsia="ru-RU"/>
              </w:rPr>
            </w:pPr>
            <w:r>
              <w:rPr>
                <w:noProof/>
                <w:lang w:eastAsia="ru-RU"/>
              </w:rPr>
              <w:drawing>
                <wp:inline distT="0" distB="0" distL="0" distR="0" wp14:anchorId="2EF9FAEC" wp14:editId="471C05E7">
                  <wp:extent cx="5940425" cy="6115050"/>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26B1D" w:rsidRDefault="00F26B1D" w:rsidP="00BB27C5">
            <w:pPr>
              <w:autoSpaceDE w:val="0"/>
              <w:autoSpaceDN w:val="0"/>
              <w:adjustRightInd w:val="0"/>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lastRenderedPageBreak/>
              <w:t>Исполнение доходов к 2022 году</w:t>
            </w:r>
          </w:p>
          <w:p w:rsidR="001B47C1" w:rsidRDefault="001B47C1" w:rsidP="00BB27C5">
            <w:pPr>
              <w:autoSpaceDE w:val="0"/>
              <w:autoSpaceDN w:val="0"/>
              <w:adjustRightInd w:val="0"/>
              <w:spacing w:after="0" w:line="240" w:lineRule="auto"/>
              <w:rPr>
                <w:rFonts w:ascii="Times New Roman" w:eastAsia="Times New Roman" w:hAnsi="Times New Roman" w:cs="Times New Roman"/>
                <w:color w:val="000000"/>
                <w:szCs w:val="24"/>
                <w:lang w:eastAsia="ru-RU"/>
              </w:rPr>
            </w:pPr>
          </w:p>
          <w:tbl>
            <w:tblPr>
              <w:tblW w:w="8400" w:type="dxa"/>
              <w:tblLook w:val="04A0" w:firstRow="1" w:lastRow="0" w:firstColumn="1" w:lastColumn="0" w:noHBand="0" w:noVBand="1"/>
            </w:tblPr>
            <w:tblGrid>
              <w:gridCol w:w="5260"/>
              <w:gridCol w:w="1000"/>
              <w:gridCol w:w="966"/>
              <w:gridCol w:w="1200"/>
            </w:tblGrid>
            <w:tr w:rsidR="001B47C1" w:rsidRPr="001B47C1" w:rsidTr="001B47C1">
              <w:trPr>
                <w:trHeight w:val="6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b/>
                      <w:bCs/>
                      <w:color w:val="000000"/>
                      <w:lang w:eastAsia="ru-RU"/>
                    </w:rPr>
                  </w:pPr>
                  <w:r w:rsidRPr="001B47C1">
                    <w:rPr>
                      <w:rFonts w:ascii="Times New Roman" w:eastAsia="Times New Roman" w:hAnsi="Times New Roman" w:cs="Times New Roman"/>
                      <w:b/>
                      <w:bCs/>
                      <w:color w:val="000000"/>
                      <w:lang w:eastAsia="ru-RU"/>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lang w:eastAsia="ru-RU"/>
                    </w:rPr>
                  </w:pPr>
                  <w:r w:rsidRPr="001B47C1">
                    <w:rPr>
                      <w:rFonts w:ascii="Times New Roman" w:eastAsia="Times New Roman" w:hAnsi="Times New Roman" w:cs="Times New Roman"/>
                      <w:b/>
                      <w:bCs/>
                      <w:color w:val="000000"/>
                      <w:lang w:eastAsia="ru-RU"/>
                    </w:rPr>
                    <w:t>2022г</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lang w:eastAsia="ru-RU"/>
                    </w:rPr>
                  </w:pPr>
                  <w:r w:rsidRPr="001B47C1">
                    <w:rPr>
                      <w:rFonts w:ascii="Times New Roman" w:eastAsia="Times New Roman" w:hAnsi="Times New Roman" w:cs="Times New Roman"/>
                      <w:b/>
                      <w:bCs/>
                      <w:color w:val="000000"/>
                      <w:lang w:eastAsia="ru-RU"/>
                    </w:rPr>
                    <w:t>2023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16"/>
                      <w:szCs w:val="16"/>
                      <w:lang w:eastAsia="ru-RU"/>
                    </w:rPr>
                  </w:pPr>
                  <w:r w:rsidRPr="001B47C1">
                    <w:rPr>
                      <w:rFonts w:ascii="Times New Roman" w:eastAsia="Times New Roman" w:hAnsi="Times New Roman" w:cs="Times New Roman"/>
                      <w:color w:val="000000"/>
                      <w:sz w:val="16"/>
                      <w:szCs w:val="16"/>
                      <w:lang w:eastAsia="ru-RU"/>
                    </w:rPr>
                    <w:t>% исполнения к 2022 году</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b/>
                      <w:bCs/>
                      <w:color w:val="000000"/>
                      <w:lang w:eastAsia="ru-RU"/>
                    </w:rPr>
                  </w:pPr>
                  <w:r w:rsidRPr="001B47C1">
                    <w:rPr>
                      <w:rFonts w:ascii="Times New Roman" w:eastAsia="Times New Roman" w:hAnsi="Times New Roman" w:cs="Times New Roman"/>
                      <w:b/>
                      <w:bCs/>
                      <w:color w:val="000000"/>
                      <w:lang w:eastAsia="ru-RU"/>
                    </w:rPr>
                    <w:t>Доходы, всего</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486529,9</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163765,8</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33,7</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b/>
                      <w:bCs/>
                      <w:i/>
                      <w:iCs/>
                      <w:color w:val="000000"/>
                      <w:lang w:eastAsia="ru-RU"/>
                    </w:rPr>
                  </w:pPr>
                  <w:r w:rsidRPr="001B47C1">
                    <w:rPr>
                      <w:rFonts w:ascii="Times New Roman" w:eastAsia="Times New Roman" w:hAnsi="Times New Roman" w:cs="Times New Roman"/>
                      <w:b/>
                      <w:bCs/>
                      <w:i/>
                      <w:iCs/>
                      <w:color w:val="000000"/>
                      <w:lang w:eastAsia="ru-RU"/>
                    </w:rPr>
                    <w:t>Налоговые и неналоговые доходы</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i/>
                      <w:iCs/>
                      <w:color w:val="FF0000"/>
                      <w:sz w:val="20"/>
                      <w:szCs w:val="20"/>
                      <w:lang w:eastAsia="ru-RU"/>
                    </w:rPr>
                  </w:pPr>
                  <w:r w:rsidRPr="001B47C1">
                    <w:rPr>
                      <w:rFonts w:ascii="Times New Roman" w:eastAsia="Times New Roman" w:hAnsi="Times New Roman" w:cs="Times New Roman"/>
                      <w:b/>
                      <w:bCs/>
                      <w:i/>
                      <w:iCs/>
                      <w:color w:val="FF0000"/>
                      <w:sz w:val="20"/>
                      <w:szCs w:val="20"/>
                      <w:lang w:eastAsia="ru-RU"/>
                    </w:rPr>
                    <w:t>37357,7</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i/>
                      <w:iCs/>
                      <w:color w:val="FF0000"/>
                      <w:sz w:val="20"/>
                      <w:szCs w:val="20"/>
                      <w:lang w:eastAsia="ru-RU"/>
                    </w:rPr>
                  </w:pPr>
                  <w:r w:rsidRPr="001B47C1">
                    <w:rPr>
                      <w:rFonts w:ascii="Times New Roman" w:eastAsia="Times New Roman" w:hAnsi="Times New Roman" w:cs="Times New Roman"/>
                      <w:b/>
                      <w:bCs/>
                      <w:i/>
                      <w:iCs/>
                      <w:color w:val="FF0000"/>
                      <w:sz w:val="20"/>
                      <w:szCs w:val="20"/>
                      <w:lang w:eastAsia="ru-RU"/>
                    </w:rPr>
                    <w:t>49864,6</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133,5</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spellStart"/>
                  <w:r w:rsidRPr="001B47C1">
                    <w:rPr>
                      <w:rFonts w:ascii="Times New Roman" w:eastAsia="Times New Roman" w:hAnsi="Times New Roman" w:cs="Times New Roman"/>
                      <w:color w:val="000000"/>
                      <w:lang w:eastAsia="ru-RU"/>
                    </w:rPr>
                    <w:t>вт.ч</w:t>
                  </w:r>
                  <w:proofErr w:type="spellEnd"/>
                  <w:r w:rsidRPr="001B47C1">
                    <w:rPr>
                      <w:rFonts w:ascii="Times New Roman" w:eastAsia="Times New Roman" w:hAnsi="Times New Roman" w:cs="Times New Roman"/>
                      <w:color w:val="000000"/>
                      <w:lang w:eastAsia="ru-RU"/>
                    </w:rPr>
                    <w:t>. НДФЛ</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26161,1</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27180,9</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103,9</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акцизы</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7692,1</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8570,1</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111,4</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упрощенная</w:t>
                  </w:r>
                  <w:proofErr w:type="gramEnd"/>
                  <w:r w:rsidRPr="001B47C1">
                    <w:rPr>
                      <w:rFonts w:ascii="Times New Roman" w:eastAsia="Times New Roman" w:hAnsi="Times New Roman" w:cs="Times New Roman"/>
                      <w:color w:val="000000"/>
                      <w:lang w:eastAsia="ru-RU"/>
                    </w:rPr>
                    <w:t xml:space="preserve"> система </w:t>
                  </w:r>
                  <w:proofErr w:type="spellStart"/>
                  <w:r w:rsidRPr="001B47C1">
                    <w:rPr>
                      <w:rFonts w:ascii="Times New Roman" w:eastAsia="Times New Roman" w:hAnsi="Times New Roman" w:cs="Times New Roman"/>
                      <w:color w:val="000000"/>
                      <w:lang w:eastAsia="ru-RU"/>
                    </w:rPr>
                    <w:t>налогооблажения</w:t>
                  </w:r>
                  <w:proofErr w:type="spellEnd"/>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1406,9</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1775,3</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126,2</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единый</w:t>
                  </w:r>
                  <w:proofErr w:type="gramEnd"/>
                  <w:r w:rsidRPr="001B47C1">
                    <w:rPr>
                      <w:rFonts w:ascii="Times New Roman" w:eastAsia="Times New Roman" w:hAnsi="Times New Roman" w:cs="Times New Roman"/>
                      <w:color w:val="000000"/>
                      <w:lang w:eastAsia="ru-RU"/>
                    </w:rPr>
                    <w:t xml:space="preserve"> налог на вменен. доход</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1,1</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-11</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-1000,0</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единый</w:t>
                  </w:r>
                  <w:proofErr w:type="gramEnd"/>
                  <w:r w:rsidRPr="001B47C1">
                    <w:rPr>
                      <w:rFonts w:ascii="Times New Roman" w:eastAsia="Times New Roman" w:hAnsi="Times New Roman" w:cs="Times New Roman"/>
                      <w:color w:val="000000"/>
                      <w:lang w:eastAsia="ru-RU"/>
                    </w:rPr>
                    <w:t xml:space="preserve"> с/х налог</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0</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6,8</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0,0</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патент</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158,8</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90,9</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57,2</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r w:rsidRPr="001B47C1">
                    <w:rPr>
                      <w:rFonts w:ascii="Times New Roman" w:eastAsia="Times New Roman" w:hAnsi="Times New Roman" w:cs="Times New Roman"/>
                      <w:color w:val="000000"/>
                      <w:lang w:eastAsia="ru-RU"/>
                    </w:rPr>
                    <w:t>гос. пошлина</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401,3</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421,6</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105,1</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аренда</w:t>
                  </w:r>
                  <w:proofErr w:type="gramEnd"/>
                  <w:r w:rsidRPr="001B47C1">
                    <w:rPr>
                      <w:rFonts w:ascii="Times New Roman" w:eastAsia="Times New Roman" w:hAnsi="Times New Roman" w:cs="Times New Roman"/>
                      <w:color w:val="000000"/>
                      <w:lang w:eastAsia="ru-RU"/>
                    </w:rPr>
                    <w:t xml:space="preserve"> имущества</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138,8</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257,1</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185,2</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аренда</w:t>
                  </w:r>
                  <w:proofErr w:type="gramEnd"/>
                  <w:r w:rsidRPr="001B47C1">
                    <w:rPr>
                      <w:rFonts w:ascii="Times New Roman" w:eastAsia="Times New Roman" w:hAnsi="Times New Roman" w:cs="Times New Roman"/>
                      <w:color w:val="000000"/>
                      <w:lang w:eastAsia="ru-RU"/>
                    </w:rPr>
                    <w:t xml:space="preserve"> земли</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488,3</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507,1</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103,9</w:t>
                  </w:r>
                </w:p>
              </w:tc>
            </w:tr>
            <w:tr w:rsidR="001B47C1" w:rsidRPr="001B47C1" w:rsidTr="001B47C1">
              <w:trPr>
                <w:trHeight w:val="54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r w:rsidRPr="001B47C1">
                    <w:rPr>
                      <w:rFonts w:ascii="Times New Roman" w:eastAsia="Times New Roman" w:hAnsi="Times New Roman" w:cs="Times New Roman"/>
                      <w:color w:val="000000"/>
                      <w:lang w:eastAsia="ru-RU"/>
                    </w:rPr>
                    <w:t xml:space="preserve">Платежи от государственных и муниципальных унитарных предприятий </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130</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50</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38,5</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Прочие  доходы</w:t>
                  </w:r>
                  <w:proofErr w:type="gramEnd"/>
                  <w:r w:rsidRPr="001B47C1">
                    <w:rPr>
                      <w:rFonts w:ascii="Times New Roman" w:eastAsia="Times New Roman" w:hAnsi="Times New Roman" w:cs="Times New Roman"/>
                      <w:color w:val="000000"/>
                      <w:lang w:eastAsia="ru-RU"/>
                    </w:rPr>
                    <w:t xml:space="preserve"> от использования  имущества</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757,1</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50</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6,6</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плата</w:t>
                  </w:r>
                  <w:proofErr w:type="gramEnd"/>
                  <w:r w:rsidRPr="001B47C1">
                    <w:rPr>
                      <w:rFonts w:ascii="Times New Roman" w:eastAsia="Times New Roman" w:hAnsi="Times New Roman" w:cs="Times New Roman"/>
                      <w:color w:val="000000"/>
                      <w:lang w:eastAsia="ru-RU"/>
                    </w:rPr>
                    <w:t xml:space="preserve"> за негативное  воздействие  на окружающую среду</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257</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242,8</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94,5</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доходы</w:t>
                  </w:r>
                  <w:proofErr w:type="gramEnd"/>
                  <w:r w:rsidRPr="001B47C1">
                    <w:rPr>
                      <w:rFonts w:ascii="Times New Roman" w:eastAsia="Times New Roman" w:hAnsi="Times New Roman" w:cs="Times New Roman"/>
                      <w:color w:val="000000"/>
                      <w:lang w:eastAsia="ru-RU"/>
                    </w:rPr>
                    <w:t xml:space="preserve"> от реализации имущества</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 317</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11,2</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0</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доходы</w:t>
                  </w:r>
                  <w:proofErr w:type="gramEnd"/>
                  <w:r w:rsidRPr="001B47C1">
                    <w:rPr>
                      <w:rFonts w:ascii="Times New Roman" w:eastAsia="Times New Roman" w:hAnsi="Times New Roman" w:cs="Times New Roman"/>
                      <w:color w:val="000000"/>
                      <w:lang w:eastAsia="ru-RU"/>
                    </w:rPr>
                    <w:t xml:space="preserve"> от продажи </w:t>
                  </w:r>
                  <w:proofErr w:type="spellStart"/>
                  <w:r w:rsidRPr="001B47C1">
                    <w:rPr>
                      <w:rFonts w:ascii="Times New Roman" w:eastAsia="Times New Roman" w:hAnsi="Times New Roman" w:cs="Times New Roman"/>
                      <w:color w:val="000000"/>
                      <w:lang w:eastAsia="ru-RU"/>
                    </w:rPr>
                    <w:t>зем</w:t>
                  </w:r>
                  <w:proofErr w:type="spellEnd"/>
                  <w:r w:rsidRPr="001B47C1">
                    <w:rPr>
                      <w:rFonts w:ascii="Times New Roman" w:eastAsia="Times New Roman" w:hAnsi="Times New Roman" w:cs="Times New Roman"/>
                      <w:color w:val="000000"/>
                      <w:lang w:eastAsia="ru-RU"/>
                    </w:rPr>
                    <w:t>. участков</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57,9</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356,4</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615,5</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штрафы</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79</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271</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343,0</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color w:val="000000"/>
                      <w:lang w:eastAsia="ru-RU"/>
                    </w:rPr>
                  </w:pPr>
                  <w:proofErr w:type="gramStart"/>
                  <w:r w:rsidRPr="001B47C1">
                    <w:rPr>
                      <w:rFonts w:ascii="Times New Roman" w:eastAsia="Times New Roman" w:hAnsi="Times New Roman" w:cs="Times New Roman"/>
                      <w:color w:val="000000"/>
                      <w:lang w:eastAsia="ru-RU"/>
                    </w:rPr>
                    <w:t>прочие</w:t>
                  </w:r>
                  <w:proofErr w:type="gramEnd"/>
                  <w:r w:rsidRPr="001B47C1">
                    <w:rPr>
                      <w:rFonts w:ascii="Times New Roman" w:eastAsia="Times New Roman" w:hAnsi="Times New Roman" w:cs="Times New Roman"/>
                      <w:color w:val="000000"/>
                      <w:lang w:eastAsia="ru-RU"/>
                    </w:rPr>
                    <w:t xml:space="preserve"> неналоговые доходы</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3,7</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color w:val="000000"/>
                      <w:sz w:val="20"/>
                      <w:szCs w:val="20"/>
                      <w:lang w:eastAsia="ru-RU"/>
                    </w:rPr>
                  </w:pPr>
                  <w:r w:rsidRPr="001B47C1">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-8,1</w:t>
                  </w:r>
                </w:p>
              </w:tc>
            </w:tr>
            <w:tr w:rsidR="001B47C1" w:rsidRPr="001B47C1" w:rsidTr="001B47C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rPr>
                      <w:rFonts w:ascii="Times New Roman" w:eastAsia="Times New Roman" w:hAnsi="Times New Roman" w:cs="Times New Roman"/>
                      <w:b/>
                      <w:bCs/>
                      <w:i/>
                      <w:iCs/>
                      <w:color w:val="000000"/>
                      <w:lang w:eastAsia="ru-RU"/>
                    </w:rPr>
                  </w:pPr>
                  <w:r w:rsidRPr="001B47C1">
                    <w:rPr>
                      <w:rFonts w:ascii="Times New Roman" w:eastAsia="Times New Roman" w:hAnsi="Times New Roman" w:cs="Times New Roman"/>
                      <w:b/>
                      <w:bCs/>
                      <w:i/>
                      <w:iCs/>
                      <w:color w:val="000000"/>
                      <w:lang w:eastAsia="ru-RU"/>
                    </w:rPr>
                    <w:t>Безвозмездные поступления</w:t>
                  </w:r>
                </w:p>
              </w:tc>
              <w:tc>
                <w:tcPr>
                  <w:tcW w:w="10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i/>
                      <w:iCs/>
                      <w:color w:val="000000"/>
                      <w:sz w:val="20"/>
                      <w:szCs w:val="20"/>
                      <w:lang w:eastAsia="ru-RU"/>
                    </w:rPr>
                  </w:pPr>
                  <w:r w:rsidRPr="001B47C1">
                    <w:rPr>
                      <w:rFonts w:ascii="Times New Roman" w:eastAsia="Times New Roman" w:hAnsi="Times New Roman" w:cs="Times New Roman"/>
                      <w:b/>
                      <w:bCs/>
                      <w:i/>
                      <w:iCs/>
                      <w:color w:val="000000"/>
                      <w:sz w:val="20"/>
                      <w:szCs w:val="20"/>
                      <w:lang w:eastAsia="ru-RU"/>
                    </w:rPr>
                    <w:t>449172,2</w:t>
                  </w:r>
                </w:p>
              </w:tc>
              <w:tc>
                <w:tcPr>
                  <w:tcW w:w="94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i/>
                      <w:iCs/>
                      <w:color w:val="000000"/>
                      <w:sz w:val="20"/>
                      <w:szCs w:val="20"/>
                      <w:lang w:eastAsia="ru-RU"/>
                    </w:rPr>
                  </w:pPr>
                  <w:r w:rsidRPr="001B47C1">
                    <w:rPr>
                      <w:rFonts w:ascii="Times New Roman" w:eastAsia="Times New Roman" w:hAnsi="Times New Roman" w:cs="Times New Roman"/>
                      <w:b/>
                      <w:bCs/>
                      <w:i/>
                      <w:iCs/>
                      <w:color w:val="000000"/>
                      <w:sz w:val="20"/>
                      <w:szCs w:val="20"/>
                      <w:lang w:eastAsia="ru-RU"/>
                    </w:rPr>
                    <w:t>113901,1</w:t>
                  </w:r>
                </w:p>
              </w:tc>
              <w:tc>
                <w:tcPr>
                  <w:tcW w:w="1200" w:type="dxa"/>
                  <w:tcBorders>
                    <w:top w:val="nil"/>
                    <w:left w:val="nil"/>
                    <w:bottom w:val="single" w:sz="4" w:space="0" w:color="auto"/>
                    <w:right w:val="single" w:sz="4" w:space="0" w:color="auto"/>
                  </w:tcBorders>
                  <w:shd w:val="clear" w:color="auto" w:fill="auto"/>
                  <w:noWrap/>
                  <w:vAlign w:val="center"/>
                  <w:hideMark/>
                </w:tcPr>
                <w:p w:rsidR="001B47C1" w:rsidRPr="001B47C1" w:rsidRDefault="001B47C1" w:rsidP="001B47C1">
                  <w:pPr>
                    <w:spacing w:after="0" w:line="240" w:lineRule="auto"/>
                    <w:jc w:val="both"/>
                    <w:rPr>
                      <w:rFonts w:ascii="Times New Roman" w:eastAsia="Times New Roman" w:hAnsi="Times New Roman" w:cs="Times New Roman"/>
                      <w:b/>
                      <w:bCs/>
                      <w:color w:val="000000"/>
                      <w:sz w:val="20"/>
                      <w:szCs w:val="20"/>
                      <w:lang w:eastAsia="ru-RU"/>
                    </w:rPr>
                  </w:pPr>
                  <w:r w:rsidRPr="001B47C1">
                    <w:rPr>
                      <w:rFonts w:ascii="Times New Roman" w:eastAsia="Times New Roman" w:hAnsi="Times New Roman" w:cs="Times New Roman"/>
                      <w:b/>
                      <w:bCs/>
                      <w:color w:val="000000"/>
                      <w:sz w:val="20"/>
                      <w:szCs w:val="20"/>
                      <w:lang w:eastAsia="ru-RU"/>
                    </w:rPr>
                    <w:t>25,4</w:t>
                  </w:r>
                </w:p>
              </w:tc>
            </w:tr>
          </w:tbl>
          <w:p w:rsidR="001B47C1" w:rsidRDefault="001B47C1" w:rsidP="00BB27C5">
            <w:pPr>
              <w:autoSpaceDE w:val="0"/>
              <w:autoSpaceDN w:val="0"/>
              <w:adjustRightInd w:val="0"/>
              <w:spacing w:after="0" w:line="240" w:lineRule="auto"/>
              <w:rPr>
                <w:rFonts w:ascii="Times New Roman" w:eastAsia="Times New Roman" w:hAnsi="Times New Roman" w:cs="Times New Roman"/>
                <w:color w:val="000000"/>
                <w:szCs w:val="24"/>
                <w:lang w:eastAsia="ru-RU"/>
              </w:rPr>
            </w:pPr>
          </w:p>
          <w:p w:rsidR="00F26B1D" w:rsidRPr="00BB27C5" w:rsidRDefault="00F26B1D" w:rsidP="00BB27C5">
            <w:pPr>
              <w:autoSpaceDE w:val="0"/>
              <w:autoSpaceDN w:val="0"/>
              <w:adjustRightInd w:val="0"/>
              <w:spacing w:after="0" w:line="240" w:lineRule="auto"/>
              <w:rPr>
                <w:rFonts w:ascii="Times New Roman" w:eastAsia="Times New Roman" w:hAnsi="Times New Roman" w:cs="Times New Roman"/>
                <w:color w:val="000000"/>
                <w:szCs w:val="24"/>
                <w:lang w:eastAsia="ru-RU"/>
              </w:rPr>
            </w:pPr>
          </w:p>
          <w:p w:rsidR="00F26B1D" w:rsidRDefault="001B47C1" w:rsidP="00BB27C5">
            <w:pPr>
              <w:autoSpaceDE w:val="0"/>
              <w:autoSpaceDN w:val="0"/>
              <w:adjustRightInd w:val="0"/>
              <w:spacing w:after="0" w:line="240" w:lineRule="auto"/>
              <w:rPr>
                <w:rFonts w:ascii="Times New Roman" w:eastAsia="Times New Roman" w:hAnsi="Times New Roman" w:cs="Calibri"/>
                <w:color w:val="000000"/>
                <w:szCs w:val="24"/>
                <w:lang w:eastAsia="ru-RU"/>
              </w:rPr>
            </w:pPr>
            <w:r>
              <w:rPr>
                <w:noProof/>
                <w:lang w:eastAsia="ru-RU"/>
              </w:rPr>
              <w:lastRenderedPageBreak/>
              <w:drawing>
                <wp:inline distT="0" distB="0" distL="0" distR="0" wp14:anchorId="1EC53D24" wp14:editId="6EA88286">
                  <wp:extent cx="5800725" cy="58959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26B1D" w:rsidRDefault="00F26B1D" w:rsidP="00BB27C5">
            <w:pPr>
              <w:autoSpaceDE w:val="0"/>
              <w:autoSpaceDN w:val="0"/>
              <w:adjustRightInd w:val="0"/>
              <w:spacing w:after="0" w:line="240" w:lineRule="auto"/>
              <w:rPr>
                <w:rFonts w:ascii="Times New Roman" w:eastAsia="Times New Roman" w:hAnsi="Times New Roman" w:cs="Calibri"/>
                <w:color w:val="000000"/>
                <w:szCs w:val="24"/>
                <w:lang w:eastAsia="ru-RU"/>
              </w:rPr>
            </w:pPr>
          </w:p>
          <w:p w:rsidR="00F26B1D" w:rsidRDefault="00F26B1D" w:rsidP="00BB27C5">
            <w:pPr>
              <w:autoSpaceDE w:val="0"/>
              <w:autoSpaceDN w:val="0"/>
              <w:adjustRightInd w:val="0"/>
              <w:spacing w:after="0" w:line="240" w:lineRule="auto"/>
              <w:rPr>
                <w:rFonts w:ascii="Times New Roman" w:eastAsia="Times New Roman" w:hAnsi="Times New Roman" w:cs="Calibri"/>
                <w:color w:val="000000"/>
                <w:szCs w:val="24"/>
                <w:lang w:eastAsia="ru-RU"/>
              </w:rPr>
            </w:pPr>
          </w:p>
          <w:p w:rsidR="00BB27C5" w:rsidRDefault="00BB27C5" w:rsidP="00BB27C5">
            <w:pPr>
              <w:autoSpaceDE w:val="0"/>
              <w:autoSpaceDN w:val="0"/>
              <w:adjustRightInd w:val="0"/>
              <w:spacing w:after="0" w:line="240" w:lineRule="auto"/>
              <w:rPr>
                <w:rFonts w:ascii="Times New Roman" w:eastAsia="Times New Roman" w:hAnsi="Times New Roman" w:cs="Calibri"/>
                <w:color w:val="000000"/>
                <w:szCs w:val="24"/>
                <w:lang w:eastAsia="ru-RU"/>
              </w:rPr>
            </w:pPr>
            <w:r w:rsidRPr="00BB27C5">
              <w:rPr>
                <w:rFonts w:ascii="Times New Roman" w:eastAsia="Times New Roman" w:hAnsi="Times New Roman" w:cs="Calibri"/>
                <w:color w:val="000000"/>
                <w:szCs w:val="24"/>
                <w:lang w:eastAsia="ru-RU"/>
              </w:rPr>
              <w:t> </w:t>
            </w:r>
          </w:p>
          <w:p w:rsidR="005277B3" w:rsidRPr="00BB27C5" w:rsidRDefault="005277B3" w:rsidP="00BB27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51" w:type="dxa"/>
            <w:tcBorders>
              <w:top w:val="nil"/>
              <w:left w:val="nil"/>
              <w:bottom w:val="nil"/>
              <w:right w:val="nil"/>
            </w:tcBorders>
            <w:noWrap/>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Times New Roman"/>
                <w:sz w:val="24"/>
                <w:szCs w:val="24"/>
                <w:lang w:eastAsia="ru-RU"/>
              </w:rPr>
            </w:pPr>
            <w:r w:rsidRPr="00BB27C5">
              <w:rPr>
                <w:rFonts w:ascii="Times New Roman" w:eastAsia="Times New Roman" w:hAnsi="Times New Roman" w:cs="Calibri"/>
                <w:color w:val="000000"/>
                <w:szCs w:val="24"/>
                <w:lang w:eastAsia="ru-RU"/>
              </w:rPr>
              <w:lastRenderedPageBreak/>
              <w:t> </w:t>
            </w:r>
          </w:p>
        </w:tc>
        <w:tc>
          <w:tcPr>
            <w:tcW w:w="938" w:type="dxa"/>
            <w:tcBorders>
              <w:top w:val="nil"/>
              <w:left w:val="nil"/>
              <w:bottom w:val="nil"/>
              <w:right w:val="nil"/>
            </w:tcBorders>
            <w:noWrap/>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Times New Roman"/>
                <w:sz w:val="24"/>
                <w:szCs w:val="24"/>
                <w:lang w:eastAsia="ru-RU"/>
              </w:rPr>
            </w:pPr>
            <w:r w:rsidRPr="00BB27C5">
              <w:rPr>
                <w:rFonts w:ascii="Times New Roman" w:eastAsia="Times New Roman" w:hAnsi="Times New Roman" w:cs="Calibri"/>
                <w:color w:val="000000"/>
                <w:szCs w:val="24"/>
                <w:lang w:eastAsia="ru-RU"/>
              </w:rPr>
              <w:t> </w:t>
            </w:r>
          </w:p>
        </w:tc>
        <w:tc>
          <w:tcPr>
            <w:tcW w:w="1099" w:type="dxa"/>
            <w:tcBorders>
              <w:top w:val="nil"/>
              <w:left w:val="nil"/>
              <w:bottom w:val="nil"/>
              <w:right w:val="nil"/>
            </w:tcBorders>
            <w:noWrap/>
            <w:vAlign w:val="bottom"/>
            <w:hideMark/>
          </w:tcPr>
          <w:p w:rsidR="00BB27C5" w:rsidRPr="00BB27C5" w:rsidRDefault="00BB27C5" w:rsidP="00BB27C5">
            <w:pPr>
              <w:autoSpaceDE w:val="0"/>
              <w:autoSpaceDN w:val="0"/>
              <w:adjustRightInd w:val="0"/>
              <w:spacing w:after="0" w:line="240" w:lineRule="auto"/>
              <w:rPr>
                <w:rFonts w:ascii="Times New Roman" w:eastAsia="Times New Roman" w:hAnsi="Times New Roman" w:cs="Times New Roman"/>
                <w:sz w:val="24"/>
                <w:szCs w:val="24"/>
                <w:lang w:eastAsia="ru-RU"/>
              </w:rPr>
            </w:pPr>
            <w:r w:rsidRPr="00BB27C5">
              <w:rPr>
                <w:rFonts w:ascii="Times New Roman" w:eastAsia="Times New Roman" w:hAnsi="Times New Roman" w:cs="Calibri"/>
                <w:color w:val="000000"/>
                <w:sz w:val="16"/>
                <w:szCs w:val="24"/>
                <w:lang w:eastAsia="ru-RU"/>
              </w:rPr>
              <w:t> </w:t>
            </w:r>
          </w:p>
        </w:tc>
      </w:tr>
    </w:tbl>
    <w:p w:rsidR="00BB27C5" w:rsidRPr="00BB27C5" w:rsidRDefault="00BB27C5" w:rsidP="00BB27C5">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B27C5">
        <w:rPr>
          <w:rFonts w:ascii="Calibri" w:eastAsia="Times New Roman" w:hAnsi="Calibri" w:cs="Calibri"/>
          <w:color w:val="000000"/>
          <w:szCs w:val="24"/>
          <w:lang w:eastAsia="ru-RU"/>
        </w:rPr>
        <w:lastRenderedPageBreak/>
        <w:t> </w:t>
      </w:r>
    </w:p>
    <w:p w:rsidR="00BB27C5" w:rsidRDefault="00BB27C5" w:rsidP="00BB27C5">
      <w:pPr>
        <w:autoSpaceDE w:val="0"/>
        <w:autoSpaceDN w:val="0"/>
        <w:adjustRightInd w:val="0"/>
        <w:spacing w:after="0" w:line="240" w:lineRule="auto"/>
        <w:rPr>
          <w:rFonts w:ascii="Times New Roman" w:eastAsia="Times New Roman" w:hAnsi="Times New Roman" w:cs="Calibri"/>
          <w:b/>
          <w:color w:val="000000"/>
          <w:sz w:val="24"/>
          <w:szCs w:val="24"/>
          <w:lang w:eastAsia="ru-RU"/>
        </w:rPr>
      </w:pPr>
      <w:r w:rsidRPr="00BB27C5">
        <w:rPr>
          <w:rFonts w:ascii="Times New Roman" w:eastAsia="Times New Roman" w:hAnsi="Times New Roman" w:cs="Calibri"/>
          <w:b/>
          <w:color w:val="000000"/>
          <w:sz w:val="24"/>
          <w:szCs w:val="24"/>
          <w:lang w:eastAsia="ru-RU"/>
        </w:rPr>
        <w:t>Исполнение расходов за 2023 год</w:t>
      </w:r>
    </w:p>
    <w:p w:rsidR="0089260A" w:rsidRPr="00BB27C5" w:rsidRDefault="0089260A" w:rsidP="00BB27C5">
      <w:pPr>
        <w:autoSpaceDE w:val="0"/>
        <w:autoSpaceDN w:val="0"/>
        <w:adjustRightInd w:val="0"/>
        <w:spacing w:after="0" w:line="240" w:lineRule="auto"/>
        <w:rPr>
          <w:rFonts w:ascii="Times New Roman" w:eastAsia="Times New Roman" w:hAnsi="Times New Roman" w:cs="Times New Roman"/>
          <w:sz w:val="24"/>
          <w:szCs w:val="24"/>
          <w:lang w:eastAsia="ru-RU"/>
        </w:rPr>
      </w:pPr>
    </w:p>
    <w:p w:rsidR="00F3062D" w:rsidRDefault="00BB27C5" w:rsidP="00BB27C5">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BB27C5">
        <w:rPr>
          <w:rFonts w:ascii="Times New Roman" w:eastAsia="Times New Roman" w:hAnsi="Times New Roman" w:cs="Calibri"/>
          <w:color w:val="000000"/>
          <w:sz w:val="24"/>
          <w:szCs w:val="24"/>
          <w:lang w:eastAsia="ru-RU"/>
        </w:rPr>
        <w:t xml:space="preserve">Бюджетная политика в части расходов местного бюджета в основном была направлена на финансирование расходов социальной сферы. </w:t>
      </w: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BB27C5">
        <w:rPr>
          <w:rFonts w:ascii="Times New Roman" w:eastAsia="Times New Roman" w:hAnsi="Times New Roman" w:cs="Calibri"/>
          <w:color w:val="000000"/>
          <w:sz w:val="24"/>
          <w:szCs w:val="24"/>
          <w:lang w:eastAsia="ru-RU"/>
        </w:rPr>
        <w:t xml:space="preserve">Все первоочередные расходы бюджета района по состоянию на 1 января 2024 года профинансированы в полном объёме. Просроченная кредиторская задолженность по состоянию на 01.01.2024 года отсутствует. </w:t>
      </w:r>
    </w:p>
    <w:p w:rsidR="00BB27C5" w:rsidRDefault="00BB27C5" w:rsidP="00BB27C5">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BB27C5">
        <w:rPr>
          <w:rFonts w:ascii="Times New Roman" w:eastAsia="Times New Roman" w:hAnsi="Times New Roman" w:cs="Calibri"/>
          <w:color w:val="000000"/>
          <w:sz w:val="24"/>
          <w:szCs w:val="24"/>
          <w:lang w:eastAsia="ru-RU"/>
        </w:rPr>
        <w:t>Кредиторская и дебиторская задолженность по одному контрагенту свыше одного миллиона рублей отсутствует (в том числе и просроченная).</w:t>
      </w:r>
    </w:p>
    <w:p w:rsidR="007C5B29" w:rsidRDefault="007C5B29" w:rsidP="007C5B29">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BB27C5">
        <w:rPr>
          <w:rFonts w:ascii="Times New Roman" w:eastAsia="Times New Roman" w:hAnsi="Times New Roman" w:cs="Calibri"/>
          <w:color w:val="000000"/>
          <w:sz w:val="24"/>
          <w:szCs w:val="24"/>
          <w:lang w:eastAsia="ru-RU"/>
        </w:rPr>
        <w:t xml:space="preserve">В общей сумме расходов на социальную сферу приходится </w:t>
      </w:r>
      <w:r>
        <w:rPr>
          <w:rFonts w:ascii="Times New Roman" w:eastAsia="Times New Roman" w:hAnsi="Times New Roman" w:cs="Calibri"/>
          <w:color w:val="000000"/>
          <w:sz w:val="24"/>
          <w:szCs w:val="24"/>
          <w:lang w:eastAsia="ru-RU"/>
        </w:rPr>
        <w:t>102291,9</w:t>
      </w:r>
      <w:r w:rsidRPr="00BB27C5">
        <w:rPr>
          <w:rFonts w:ascii="Times New Roman" w:eastAsia="Times New Roman" w:hAnsi="Times New Roman" w:cs="Calibri"/>
          <w:color w:val="000000"/>
          <w:sz w:val="24"/>
          <w:szCs w:val="24"/>
          <w:lang w:eastAsia="ru-RU"/>
        </w:rPr>
        <w:t xml:space="preserve"> тыс. рублей, что составляет </w:t>
      </w:r>
      <w:r>
        <w:rPr>
          <w:rFonts w:ascii="Times New Roman" w:eastAsia="Times New Roman" w:hAnsi="Times New Roman" w:cs="Calibri"/>
          <w:color w:val="000000"/>
          <w:sz w:val="24"/>
          <w:szCs w:val="24"/>
          <w:lang w:eastAsia="ru-RU"/>
        </w:rPr>
        <w:t>63,75</w:t>
      </w:r>
      <w:r w:rsidRPr="00BB27C5">
        <w:rPr>
          <w:rFonts w:ascii="Times New Roman" w:eastAsia="Times New Roman" w:hAnsi="Times New Roman" w:cs="Calibri"/>
          <w:color w:val="000000"/>
          <w:sz w:val="24"/>
          <w:szCs w:val="24"/>
          <w:lang w:eastAsia="ru-RU"/>
        </w:rPr>
        <w:t xml:space="preserve"> % от общих расходов.</w:t>
      </w:r>
      <w:r>
        <w:rPr>
          <w:rFonts w:ascii="Times New Roman" w:eastAsia="Times New Roman" w:hAnsi="Times New Roman" w:cs="Calibri"/>
          <w:color w:val="000000"/>
          <w:sz w:val="24"/>
          <w:szCs w:val="24"/>
          <w:lang w:eastAsia="ru-RU"/>
        </w:rPr>
        <w:t xml:space="preserve"> </w:t>
      </w:r>
      <w:r w:rsidRPr="00F3062D">
        <w:rPr>
          <w:rFonts w:ascii="Times New Roman" w:eastAsia="Times New Roman" w:hAnsi="Times New Roman" w:cs="Calibri"/>
          <w:color w:val="000000"/>
          <w:sz w:val="24"/>
          <w:szCs w:val="24"/>
          <w:lang w:eastAsia="ru-RU"/>
        </w:rPr>
        <w:t>В социальные расходы, как правило, включаются расходы бюджета на образование, здравоохранение, культуру и искусство, физическая культуру и спорт, социальную защиту населения.</w:t>
      </w:r>
    </w:p>
    <w:p w:rsidR="007C5B29" w:rsidRDefault="007C5B29" w:rsidP="007C5B29">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p>
    <w:p w:rsidR="007C5B29" w:rsidRDefault="007C5B29" w:rsidP="007C5B29">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BB27C5">
        <w:rPr>
          <w:rFonts w:ascii="Times New Roman" w:eastAsia="Times New Roman" w:hAnsi="Times New Roman" w:cs="Times New Roman"/>
          <w:color w:val="000000"/>
          <w:sz w:val="24"/>
          <w:szCs w:val="24"/>
          <w:lang w:eastAsia="ru-RU"/>
        </w:rPr>
        <w:lastRenderedPageBreak/>
        <w:t xml:space="preserve">Исполнение </w:t>
      </w:r>
      <w:r>
        <w:rPr>
          <w:rFonts w:ascii="Times New Roman" w:eastAsia="Times New Roman" w:hAnsi="Times New Roman" w:cs="Times New Roman"/>
          <w:color w:val="000000"/>
          <w:sz w:val="24"/>
          <w:szCs w:val="24"/>
          <w:lang w:eastAsia="ru-RU"/>
        </w:rPr>
        <w:t>расходов</w:t>
      </w:r>
      <w:r w:rsidRPr="00BB27C5">
        <w:rPr>
          <w:rFonts w:ascii="Times New Roman" w:eastAsia="Times New Roman" w:hAnsi="Times New Roman" w:cs="Times New Roman"/>
          <w:color w:val="000000"/>
          <w:sz w:val="24"/>
          <w:szCs w:val="24"/>
          <w:lang w:eastAsia="ru-RU"/>
        </w:rPr>
        <w:t xml:space="preserve"> к уточненному годовому</w:t>
      </w:r>
      <w:r>
        <w:rPr>
          <w:rFonts w:ascii="Times New Roman" w:eastAsia="Times New Roman" w:hAnsi="Times New Roman" w:cs="Times New Roman"/>
          <w:color w:val="000000"/>
          <w:sz w:val="24"/>
          <w:szCs w:val="24"/>
          <w:lang w:eastAsia="ru-RU"/>
        </w:rPr>
        <w:t xml:space="preserve"> плану:</w:t>
      </w:r>
    </w:p>
    <w:p w:rsidR="007C5B29" w:rsidRPr="00BB27C5" w:rsidRDefault="007C5B29" w:rsidP="007C5B29">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
    <w:tbl>
      <w:tblPr>
        <w:tblW w:w="7980" w:type="dxa"/>
        <w:tblInd w:w="-20" w:type="dxa"/>
        <w:tblLook w:val="04A0" w:firstRow="1" w:lastRow="0" w:firstColumn="1" w:lastColumn="0" w:noHBand="0" w:noVBand="1"/>
      </w:tblPr>
      <w:tblGrid>
        <w:gridCol w:w="1840"/>
        <w:gridCol w:w="2060"/>
        <w:gridCol w:w="1920"/>
        <w:gridCol w:w="2160"/>
      </w:tblGrid>
      <w:tr w:rsidR="007C5B29" w:rsidRPr="007C5B29" w:rsidTr="007C5B2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b/>
                <w:bCs/>
                <w:color w:val="000000"/>
                <w:lang w:eastAsia="ru-RU"/>
              </w:rPr>
            </w:pPr>
            <w:proofErr w:type="spellStart"/>
            <w:proofErr w:type="gramStart"/>
            <w:r w:rsidRPr="007C5B29">
              <w:rPr>
                <w:rFonts w:ascii="Calibri" w:eastAsia="Times New Roman" w:hAnsi="Calibri" w:cs="Calibri"/>
                <w:b/>
                <w:bCs/>
                <w:color w:val="000000"/>
                <w:lang w:eastAsia="ru-RU"/>
              </w:rPr>
              <w:t>рзд</w:t>
            </w:r>
            <w:proofErr w:type="spellEnd"/>
            <w:proofErr w:type="gramEnd"/>
            <w:r w:rsidRPr="007C5B29">
              <w:rPr>
                <w:rFonts w:ascii="Calibri" w:eastAsia="Times New Roman" w:hAnsi="Calibri" w:cs="Calibri"/>
                <w:b/>
                <w:bCs/>
                <w:color w:val="000000"/>
                <w:lang w:eastAsia="ru-RU"/>
              </w:rPr>
              <w:t>/</w:t>
            </w:r>
            <w:proofErr w:type="spellStart"/>
            <w:r w:rsidRPr="007C5B29">
              <w:rPr>
                <w:rFonts w:ascii="Calibri" w:eastAsia="Times New Roman" w:hAnsi="Calibri" w:cs="Calibri"/>
                <w:b/>
                <w:bCs/>
                <w:color w:val="000000"/>
                <w:lang w:eastAsia="ru-RU"/>
              </w:rPr>
              <w:t>прд</w:t>
            </w:r>
            <w:proofErr w:type="spellEnd"/>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b/>
                <w:bCs/>
                <w:color w:val="000000"/>
                <w:lang w:eastAsia="ru-RU"/>
              </w:rPr>
            </w:pPr>
            <w:proofErr w:type="gramStart"/>
            <w:r w:rsidRPr="007C5B29">
              <w:rPr>
                <w:rFonts w:ascii="Calibri" w:eastAsia="Times New Roman" w:hAnsi="Calibri" w:cs="Calibri"/>
                <w:b/>
                <w:bCs/>
                <w:color w:val="000000"/>
                <w:lang w:eastAsia="ru-RU"/>
              </w:rPr>
              <w:t>план</w:t>
            </w:r>
            <w:proofErr w:type="gramEnd"/>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b/>
                <w:bCs/>
                <w:color w:val="000000"/>
                <w:lang w:eastAsia="ru-RU"/>
              </w:rPr>
            </w:pPr>
            <w:proofErr w:type="gramStart"/>
            <w:r w:rsidRPr="007C5B29">
              <w:rPr>
                <w:rFonts w:ascii="Calibri" w:eastAsia="Times New Roman" w:hAnsi="Calibri" w:cs="Calibri"/>
                <w:b/>
                <w:bCs/>
                <w:color w:val="000000"/>
                <w:lang w:eastAsia="ru-RU"/>
              </w:rPr>
              <w:t>факт</w:t>
            </w:r>
            <w:proofErr w:type="gramEnd"/>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b/>
                <w:bCs/>
                <w:color w:val="000000"/>
                <w:lang w:eastAsia="ru-RU"/>
              </w:rPr>
            </w:pPr>
            <w:proofErr w:type="gramStart"/>
            <w:r w:rsidRPr="007C5B29">
              <w:rPr>
                <w:rFonts w:ascii="Calibri" w:eastAsia="Times New Roman" w:hAnsi="Calibri" w:cs="Calibri"/>
                <w:b/>
                <w:bCs/>
                <w:color w:val="000000"/>
                <w:lang w:eastAsia="ru-RU"/>
              </w:rPr>
              <w:t>процент</w:t>
            </w:r>
            <w:proofErr w:type="gramEnd"/>
            <w:r w:rsidRPr="007C5B29">
              <w:rPr>
                <w:rFonts w:ascii="Calibri" w:eastAsia="Times New Roman" w:hAnsi="Calibri" w:cs="Calibri"/>
                <w:b/>
                <w:bCs/>
                <w:color w:val="000000"/>
                <w:lang w:eastAsia="ru-RU"/>
              </w:rPr>
              <w:t xml:space="preserve"> к плану</w:t>
            </w:r>
          </w:p>
        </w:tc>
      </w:tr>
      <w:tr w:rsidR="007C5B29" w:rsidRPr="007C5B29" w:rsidTr="007C5B29">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0700</w:t>
            </w:r>
          </w:p>
        </w:tc>
        <w:tc>
          <w:tcPr>
            <w:tcW w:w="20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82 976 461,79</w:t>
            </w:r>
          </w:p>
        </w:tc>
        <w:tc>
          <w:tcPr>
            <w:tcW w:w="192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81 145 462,96</w:t>
            </w:r>
          </w:p>
        </w:tc>
        <w:tc>
          <w:tcPr>
            <w:tcW w:w="21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97,79</w:t>
            </w:r>
          </w:p>
        </w:tc>
      </w:tr>
      <w:tr w:rsidR="007C5B29" w:rsidRPr="007C5B29" w:rsidTr="007C5B29">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0800</w:t>
            </w:r>
          </w:p>
        </w:tc>
        <w:tc>
          <w:tcPr>
            <w:tcW w:w="20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18 033 268,85</w:t>
            </w:r>
          </w:p>
        </w:tc>
        <w:tc>
          <w:tcPr>
            <w:tcW w:w="192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17 168 954,79</w:t>
            </w:r>
          </w:p>
        </w:tc>
        <w:tc>
          <w:tcPr>
            <w:tcW w:w="21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95,21</w:t>
            </w:r>
          </w:p>
        </w:tc>
      </w:tr>
      <w:tr w:rsidR="007C5B29" w:rsidRPr="007C5B29" w:rsidTr="007C5B29">
        <w:trPr>
          <w:trHeight w:val="28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2 886 325,00</w:t>
            </w:r>
          </w:p>
        </w:tc>
        <w:tc>
          <w:tcPr>
            <w:tcW w:w="192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2 719 388,37</w:t>
            </w:r>
          </w:p>
        </w:tc>
        <w:tc>
          <w:tcPr>
            <w:tcW w:w="21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94,22</w:t>
            </w:r>
          </w:p>
        </w:tc>
      </w:tr>
      <w:tr w:rsidR="007C5B29" w:rsidRPr="007C5B29" w:rsidTr="007C5B2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1100</w:t>
            </w:r>
          </w:p>
        </w:tc>
        <w:tc>
          <w:tcPr>
            <w:tcW w:w="20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1 267 219,00</w:t>
            </w:r>
          </w:p>
        </w:tc>
        <w:tc>
          <w:tcPr>
            <w:tcW w:w="192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1 258 070,71</w:t>
            </w:r>
          </w:p>
        </w:tc>
        <w:tc>
          <w:tcPr>
            <w:tcW w:w="21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99,28</w:t>
            </w:r>
          </w:p>
        </w:tc>
      </w:tr>
      <w:tr w:rsidR="007C5B29" w:rsidRPr="007C5B29" w:rsidTr="007C5B29">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proofErr w:type="gramStart"/>
            <w:r w:rsidRPr="007C5B29">
              <w:rPr>
                <w:rFonts w:ascii="Calibri" w:eastAsia="Times New Roman" w:hAnsi="Calibri" w:cs="Calibri"/>
                <w:color w:val="000000"/>
                <w:lang w:eastAsia="ru-RU"/>
              </w:rPr>
              <w:t>итого</w:t>
            </w:r>
            <w:proofErr w:type="gramEnd"/>
          </w:p>
        </w:tc>
        <w:tc>
          <w:tcPr>
            <w:tcW w:w="20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105 163 274,64</w:t>
            </w:r>
          </w:p>
        </w:tc>
        <w:tc>
          <w:tcPr>
            <w:tcW w:w="192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102 291 876,83</w:t>
            </w:r>
          </w:p>
        </w:tc>
        <w:tc>
          <w:tcPr>
            <w:tcW w:w="21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97,27</w:t>
            </w:r>
          </w:p>
        </w:tc>
      </w:tr>
      <w:tr w:rsidR="007C5B29" w:rsidRPr="007C5B29" w:rsidTr="007C5B29">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proofErr w:type="gramStart"/>
            <w:r w:rsidRPr="007C5B29">
              <w:rPr>
                <w:rFonts w:ascii="Calibri" w:eastAsia="Times New Roman" w:hAnsi="Calibri" w:cs="Calibri"/>
                <w:color w:val="000000"/>
                <w:lang w:eastAsia="ru-RU"/>
              </w:rPr>
              <w:t>всего</w:t>
            </w:r>
            <w:proofErr w:type="gramEnd"/>
            <w:r w:rsidRPr="007C5B29">
              <w:rPr>
                <w:rFonts w:ascii="Calibri" w:eastAsia="Times New Roman" w:hAnsi="Calibri" w:cs="Calibri"/>
                <w:color w:val="000000"/>
                <w:lang w:eastAsia="ru-RU"/>
              </w:rPr>
              <w:t xml:space="preserve"> расходов</w:t>
            </w:r>
          </w:p>
        </w:tc>
        <w:tc>
          <w:tcPr>
            <w:tcW w:w="20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176 327 214,48</w:t>
            </w:r>
          </w:p>
        </w:tc>
        <w:tc>
          <w:tcPr>
            <w:tcW w:w="192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160 446 183,01</w:t>
            </w:r>
          </w:p>
        </w:tc>
        <w:tc>
          <w:tcPr>
            <w:tcW w:w="21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 </w:t>
            </w:r>
          </w:p>
        </w:tc>
      </w:tr>
      <w:tr w:rsidR="007C5B29" w:rsidRPr="007C5B29" w:rsidTr="007C5B29">
        <w:trPr>
          <w:trHeight w:val="52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Процент к общим расходам</w:t>
            </w:r>
          </w:p>
        </w:tc>
        <w:tc>
          <w:tcPr>
            <w:tcW w:w="20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59,64</w:t>
            </w:r>
          </w:p>
        </w:tc>
        <w:tc>
          <w:tcPr>
            <w:tcW w:w="192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63,75</w:t>
            </w:r>
          </w:p>
        </w:tc>
        <w:tc>
          <w:tcPr>
            <w:tcW w:w="2160" w:type="dxa"/>
            <w:tcBorders>
              <w:top w:val="nil"/>
              <w:left w:val="nil"/>
              <w:bottom w:val="single" w:sz="4" w:space="0" w:color="auto"/>
              <w:right w:val="single" w:sz="4" w:space="0" w:color="auto"/>
            </w:tcBorders>
            <w:shd w:val="clear" w:color="auto" w:fill="auto"/>
            <w:noWrap/>
            <w:vAlign w:val="bottom"/>
            <w:hideMark/>
          </w:tcPr>
          <w:p w:rsidR="007C5B29" w:rsidRPr="007C5B29" w:rsidRDefault="007C5B29" w:rsidP="007C5B29">
            <w:pPr>
              <w:spacing w:after="0" w:line="240" w:lineRule="auto"/>
              <w:jc w:val="center"/>
              <w:rPr>
                <w:rFonts w:ascii="Calibri" w:eastAsia="Times New Roman" w:hAnsi="Calibri" w:cs="Calibri"/>
                <w:color w:val="000000"/>
                <w:lang w:eastAsia="ru-RU"/>
              </w:rPr>
            </w:pPr>
            <w:r w:rsidRPr="007C5B29">
              <w:rPr>
                <w:rFonts w:ascii="Calibri" w:eastAsia="Times New Roman" w:hAnsi="Calibri" w:cs="Calibri"/>
                <w:color w:val="000000"/>
                <w:lang w:eastAsia="ru-RU"/>
              </w:rPr>
              <w:t> </w:t>
            </w:r>
          </w:p>
        </w:tc>
      </w:tr>
    </w:tbl>
    <w:p w:rsidR="007C5B29" w:rsidRPr="00BB27C5" w:rsidRDefault="007C5B29" w:rsidP="00BB27C5">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В разрезе отраслей исполнение расходов характеризуется по следующим показателям:</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Общегосударственные вопросы</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Расходы по общегосударственным вопросам в 2023 году составили </w:t>
      </w:r>
      <w:r w:rsidR="00993798">
        <w:rPr>
          <w:rFonts w:ascii="Times New Roman" w:eastAsia="Times New Roman" w:hAnsi="Times New Roman" w:cs="Calibri"/>
          <w:color w:val="000000"/>
          <w:sz w:val="24"/>
          <w:szCs w:val="24"/>
          <w:lang w:eastAsia="ru-RU"/>
        </w:rPr>
        <w:t>33 084,6</w:t>
      </w:r>
      <w:r w:rsidRPr="005277B3">
        <w:rPr>
          <w:rFonts w:ascii="Times New Roman" w:eastAsia="Times New Roman" w:hAnsi="Times New Roman" w:cs="Calibri"/>
          <w:color w:val="000000"/>
          <w:sz w:val="24"/>
          <w:szCs w:val="24"/>
          <w:lang w:eastAsia="ru-RU"/>
        </w:rPr>
        <w:t xml:space="preserve"> тыс. рублей. Из них расходы на содержание главы района </w:t>
      </w:r>
      <w:r w:rsidR="003F0D55">
        <w:rPr>
          <w:rFonts w:ascii="Times New Roman" w:eastAsia="Times New Roman" w:hAnsi="Times New Roman" w:cs="Calibri"/>
          <w:color w:val="000000"/>
          <w:sz w:val="24"/>
          <w:szCs w:val="24"/>
          <w:lang w:eastAsia="ru-RU"/>
        </w:rPr>
        <w:t>составили 2 695,4</w:t>
      </w:r>
      <w:r w:rsidRPr="005277B3">
        <w:rPr>
          <w:rFonts w:ascii="Times New Roman" w:eastAsia="Times New Roman" w:hAnsi="Times New Roman" w:cs="Calibri"/>
          <w:color w:val="000000"/>
          <w:sz w:val="24"/>
          <w:szCs w:val="24"/>
          <w:lang w:eastAsia="ru-RU"/>
        </w:rPr>
        <w:t xml:space="preserve"> тыс. рублей, на содержание аппарата управления в сумме </w:t>
      </w:r>
      <w:r w:rsidR="003F0D55">
        <w:rPr>
          <w:rFonts w:ascii="Times New Roman" w:eastAsia="Times New Roman" w:hAnsi="Times New Roman" w:cs="Calibri"/>
          <w:color w:val="000000"/>
          <w:sz w:val="24"/>
          <w:szCs w:val="24"/>
          <w:lang w:eastAsia="ru-RU"/>
        </w:rPr>
        <w:t>20 791,8</w:t>
      </w:r>
      <w:r w:rsidRPr="005277B3">
        <w:rPr>
          <w:rFonts w:ascii="Times New Roman" w:eastAsia="Times New Roman" w:hAnsi="Times New Roman" w:cs="Calibri"/>
          <w:color w:val="000000"/>
          <w:sz w:val="24"/>
          <w:szCs w:val="24"/>
          <w:lang w:eastAsia="ru-RU"/>
        </w:rPr>
        <w:t xml:space="preserve"> тыс. рублей, на содержание финансового органа </w:t>
      </w:r>
      <w:r w:rsidR="003F0D55">
        <w:rPr>
          <w:rFonts w:ascii="Times New Roman" w:eastAsia="Times New Roman" w:hAnsi="Times New Roman" w:cs="Calibri"/>
          <w:color w:val="000000"/>
          <w:sz w:val="24"/>
          <w:szCs w:val="24"/>
          <w:lang w:eastAsia="ru-RU"/>
        </w:rPr>
        <w:t>4 374,3</w:t>
      </w:r>
      <w:r w:rsidRPr="005277B3">
        <w:rPr>
          <w:rFonts w:ascii="Times New Roman" w:eastAsia="Times New Roman" w:hAnsi="Times New Roman" w:cs="Calibri"/>
          <w:color w:val="000000"/>
          <w:sz w:val="24"/>
          <w:szCs w:val="24"/>
          <w:lang w:eastAsia="ru-RU"/>
        </w:rPr>
        <w:t xml:space="preserve"> тыс. рублей, на обеспечение функций представительного органа </w:t>
      </w:r>
      <w:r w:rsidR="003F0D55">
        <w:rPr>
          <w:rFonts w:ascii="Times New Roman" w:eastAsia="Times New Roman" w:hAnsi="Times New Roman" w:cs="Calibri"/>
          <w:color w:val="000000"/>
          <w:sz w:val="24"/>
          <w:szCs w:val="24"/>
          <w:lang w:eastAsia="ru-RU"/>
        </w:rPr>
        <w:t>36,2</w:t>
      </w:r>
      <w:r w:rsidRPr="005277B3">
        <w:rPr>
          <w:rFonts w:ascii="Times New Roman" w:eastAsia="Times New Roman" w:hAnsi="Times New Roman" w:cs="Calibri"/>
          <w:color w:val="000000"/>
          <w:sz w:val="24"/>
          <w:szCs w:val="24"/>
          <w:lang w:eastAsia="ru-RU"/>
        </w:rPr>
        <w:t xml:space="preserve"> тыс. рублей, на списки кандидатов в присяжные заседатели при плане 0,7 </w:t>
      </w:r>
      <w:proofErr w:type="spellStart"/>
      <w:r w:rsidRPr="005277B3">
        <w:rPr>
          <w:rFonts w:ascii="Times New Roman" w:eastAsia="Times New Roman" w:hAnsi="Times New Roman" w:cs="Calibri"/>
          <w:color w:val="000000"/>
          <w:sz w:val="24"/>
          <w:szCs w:val="24"/>
          <w:lang w:eastAsia="ru-RU"/>
        </w:rPr>
        <w:t>тыс.рублей</w:t>
      </w:r>
      <w:proofErr w:type="spellEnd"/>
      <w:r w:rsidRPr="005277B3">
        <w:rPr>
          <w:rFonts w:ascii="Times New Roman" w:eastAsia="Times New Roman" w:hAnsi="Times New Roman" w:cs="Calibri"/>
          <w:color w:val="000000"/>
          <w:sz w:val="24"/>
          <w:szCs w:val="24"/>
          <w:lang w:eastAsia="ru-RU"/>
        </w:rPr>
        <w:t xml:space="preserve"> деньги освоены не были, на обеспечение и проведения выборов и референдумов 627,6 тыс. рублей.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На другие общегосударственные вопросы профинансировано </w:t>
      </w:r>
      <w:r w:rsidR="003F0D55">
        <w:rPr>
          <w:rFonts w:ascii="Times New Roman" w:eastAsia="Times New Roman" w:hAnsi="Times New Roman" w:cs="Calibri"/>
          <w:color w:val="000000"/>
          <w:sz w:val="24"/>
          <w:szCs w:val="24"/>
          <w:lang w:eastAsia="ru-RU"/>
        </w:rPr>
        <w:t>4 559,1</w:t>
      </w:r>
      <w:r w:rsidRPr="005277B3">
        <w:rPr>
          <w:rFonts w:ascii="Times New Roman" w:eastAsia="Times New Roman" w:hAnsi="Times New Roman" w:cs="Calibri"/>
          <w:color w:val="000000"/>
          <w:sz w:val="24"/>
          <w:szCs w:val="24"/>
          <w:lang w:eastAsia="ru-RU"/>
        </w:rPr>
        <w:t xml:space="preserve"> тыс. рублей, в т. ч. на содержание единой диспетчерской службы составил 2 236,9 тыс. рублей, на обеспечение информированности населения о деятельности органов местного самоуправления через редакцию на 100,0 тыс. рублей, на антинаркотическую пропаганду израсходовано 10,0 тыс. рублей, на осуществление мероприятий из резервного фонда администрации района 59,2 тыс. рублей, на </w:t>
      </w:r>
      <w:r w:rsidR="003F0D55">
        <w:rPr>
          <w:rFonts w:ascii="Times New Roman" w:eastAsia="Times New Roman" w:hAnsi="Times New Roman" w:cs="Calibri"/>
          <w:color w:val="000000"/>
          <w:sz w:val="24"/>
          <w:szCs w:val="24"/>
          <w:lang w:eastAsia="ru-RU"/>
        </w:rPr>
        <w:t>м</w:t>
      </w:r>
      <w:r w:rsidRPr="005277B3">
        <w:rPr>
          <w:rFonts w:ascii="Times New Roman" w:eastAsia="Times New Roman" w:hAnsi="Times New Roman" w:cs="Calibri"/>
          <w:color w:val="000000"/>
          <w:sz w:val="24"/>
          <w:szCs w:val="24"/>
          <w:lang w:eastAsia="ru-RU"/>
        </w:rPr>
        <w:t>ероприятия по осуществлению антинаркотической пропаганды и антинаркотического просвещения 5,4 тыс. рублей, софинансирование к мероприятиям по пограничной безопасности 5,8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Из областного бюджета по другим общегосударственным вопросам выделено на выполнение полномочий по образованию и обеспечению деятельности комиссий по делам несовершеннолетних 520 тыс. рублей, на субвенцию на исполнение государственных полномочий по сбору информации, необходимой для ведения регистра муниципальных правовых актов 54,0 тыс. рублей, на реализацию мероприятий по пограничной безопасности 576,7 тыс. рублей, на исполнение государственных полномочий по созданию административных комиссий 1 тыс. рублей.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Национальная оборона</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Расходы по разделу "Национальная оборона" в 2023 году составили 516,8 тыс. рублей, в том числе на субвенцию на осуществление полномочий по первичному воинскому учету 516,8 тыс. рублей, расходы осуществлялись в поселениях.</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Национальная безопасность и правоохранительная деятельность</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Исполнение по расходам по разделу национальной безопасности и правоохранительной деятельности за 2023 году составило </w:t>
      </w:r>
      <w:r w:rsidR="003F0D55">
        <w:rPr>
          <w:rFonts w:ascii="Times New Roman" w:eastAsia="Times New Roman" w:hAnsi="Times New Roman" w:cs="Calibri"/>
          <w:color w:val="000000"/>
          <w:sz w:val="24"/>
          <w:szCs w:val="24"/>
          <w:lang w:eastAsia="ru-RU"/>
        </w:rPr>
        <w:t>307</w:t>
      </w:r>
      <w:r w:rsidRPr="005277B3">
        <w:rPr>
          <w:rFonts w:ascii="Times New Roman" w:eastAsia="Times New Roman" w:hAnsi="Times New Roman" w:cs="Calibri"/>
          <w:color w:val="000000"/>
          <w:sz w:val="24"/>
          <w:szCs w:val="24"/>
          <w:lang w:eastAsia="ru-RU"/>
        </w:rPr>
        <w:t>,6 тыс. рублей, в том числе на проведения мероприятий по профилактике правонарушений с сумме 18,9 тыс. рублей, на укрепление пожарной безоп</w:t>
      </w:r>
      <w:r w:rsidR="003F0D55">
        <w:rPr>
          <w:rFonts w:ascii="Times New Roman" w:eastAsia="Times New Roman" w:hAnsi="Times New Roman" w:cs="Calibri"/>
          <w:color w:val="000000"/>
          <w:sz w:val="24"/>
          <w:szCs w:val="24"/>
          <w:lang w:eastAsia="ru-RU"/>
        </w:rPr>
        <w:t>асности в сумме 234 тыс. рублей</w:t>
      </w:r>
      <w:r w:rsidRPr="005277B3">
        <w:rPr>
          <w:rFonts w:ascii="Times New Roman" w:eastAsia="Times New Roman" w:hAnsi="Times New Roman" w:cs="Calibri"/>
          <w:color w:val="000000"/>
          <w:sz w:val="24"/>
          <w:szCs w:val="24"/>
          <w:lang w:eastAsia="ru-RU"/>
        </w:rPr>
        <w:t xml:space="preserve">. Из областного бюджета на расходы по пожарной безопасности израсходовали 52 тыс. рублей, на софинансирование по ним израсходовано 2,7 тыс. рублей.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lastRenderedPageBreak/>
        <w:t>Национальная экономика</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Расходы по разделу "Национальная экономика" в 2023 году составили 1</w:t>
      </w:r>
      <w:r w:rsidR="003F0D55">
        <w:rPr>
          <w:rFonts w:ascii="Times New Roman" w:eastAsia="Times New Roman" w:hAnsi="Times New Roman" w:cs="Calibri"/>
          <w:color w:val="000000"/>
          <w:sz w:val="24"/>
          <w:szCs w:val="24"/>
          <w:lang w:eastAsia="ru-RU"/>
        </w:rPr>
        <w:t>4</w:t>
      </w:r>
      <w:r w:rsidRPr="005277B3">
        <w:rPr>
          <w:rFonts w:ascii="Times New Roman" w:eastAsia="Times New Roman" w:hAnsi="Times New Roman" w:cs="Calibri"/>
          <w:color w:val="000000"/>
          <w:sz w:val="24"/>
          <w:szCs w:val="24"/>
          <w:lang w:eastAsia="ru-RU"/>
        </w:rPr>
        <w:t xml:space="preserve"> 0</w:t>
      </w:r>
      <w:r w:rsidR="003F0D55">
        <w:rPr>
          <w:rFonts w:ascii="Times New Roman" w:eastAsia="Times New Roman" w:hAnsi="Times New Roman" w:cs="Calibri"/>
          <w:color w:val="000000"/>
          <w:sz w:val="24"/>
          <w:szCs w:val="24"/>
          <w:lang w:eastAsia="ru-RU"/>
        </w:rPr>
        <w:t>70</w:t>
      </w:r>
      <w:r w:rsidRPr="005277B3">
        <w:rPr>
          <w:rFonts w:ascii="Times New Roman" w:eastAsia="Times New Roman" w:hAnsi="Times New Roman" w:cs="Calibri"/>
          <w:color w:val="000000"/>
          <w:sz w:val="24"/>
          <w:szCs w:val="24"/>
          <w:lang w:eastAsia="ru-RU"/>
        </w:rPr>
        <w:t xml:space="preserve"> тыс. рублей.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Из областного бюджета произведено финансирование на реализацию мероприятий по ликвидации очагов сорного растения борщевик Сосновск</w:t>
      </w:r>
      <w:r w:rsidR="003F0D55">
        <w:rPr>
          <w:rFonts w:ascii="Times New Roman" w:eastAsia="Times New Roman" w:hAnsi="Times New Roman" w:cs="Calibri"/>
          <w:color w:val="000000"/>
          <w:sz w:val="24"/>
          <w:szCs w:val="24"/>
          <w:lang w:eastAsia="ru-RU"/>
        </w:rPr>
        <w:t xml:space="preserve">ого в сумме 120 тыс. рублей.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Финансирование мероприятий в области автомобильного транспорта в сумме 50,8 тыс. рублей: за счет субсидии из областного бюджета на перевозки обучающихся и сопровождающих лиц на внеклассные мероприятия из областного бюджета 50,8 тыс. рублей.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На дорожное хозяйство израсходовано 1</w:t>
      </w:r>
      <w:r w:rsidR="003F0D55">
        <w:rPr>
          <w:rFonts w:ascii="Times New Roman" w:eastAsia="Times New Roman" w:hAnsi="Times New Roman" w:cs="Calibri"/>
          <w:color w:val="000000"/>
          <w:sz w:val="24"/>
          <w:szCs w:val="24"/>
          <w:lang w:eastAsia="ru-RU"/>
        </w:rPr>
        <w:t>3</w:t>
      </w:r>
      <w:r w:rsidRPr="005277B3">
        <w:rPr>
          <w:rFonts w:ascii="Times New Roman" w:eastAsia="Times New Roman" w:hAnsi="Times New Roman" w:cs="Calibri"/>
          <w:color w:val="000000"/>
          <w:sz w:val="24"/>
          <w:szCs w:val="24"/>
          <w:lang w:eastAsia="ru-RU"/>
        </w:rPr>
        <w:t xml:space="preserve"> 8</w:t>
      </w:r>
      <w:r w:rsidR="003F0D55">
        <w:rPr>
          <w:rFonts w:ascii="Times New Roman" w:eastAsia="Times New Roman" w:hAnsi="Times New Roman" w:cs="Calibri"/>
          <w:color w:val="000000"/>
          <w:sz w:val="24"/>
          <w:szCs w:val="24"/>
          <w:lang w:eastAsia="ru-RU"/>
        </w:rPr>
        <w:t>97</w:t>
      </w:r>
      <w:r w:rsidRPr="005277B3">
        <w:rPr>
          <w:rFonts w:ascii="Times New Roman" w:eastAsia="Times New Roman" w:hAnsi="Times New Roman" w:cs="Calibri"/>
          <w:color w:val="000000"/>
          <w:sz w:val="24"/>
          <w:szCs w:val="24"/>
          <w:lang w:eastAsia="ru-RU"/>
        </w:rPr>
        <w:t>,</w:t>
      </w:r>
      <w:r w:rsidR="003F0D55">
        <w:rPr>
          <w:rFonts w:ascii="Times New Roman" w:eastAsia="Times New Roman" w:hAnsi="Times New Roman" w:cs="Calibri"/>
          <w:color w:val="000000"/>
          <w:sz w:val="24"/>
          <w:szCs w:val="24"/>
          <w:lang w:eastAsia="ru-RU"/>
        </w:rPr>
        <w:t>3</w:t>
      </w:r>
      <w:r w:rsidRPr="005277B3">
        <w:rPr>
          <w:rFonts w:ascii="Times New Roman" w:eastAsia="Times New Roman" w:hAnsi="Times New Roman" w:cs="Calibri"/>
          <w:color w:val="000000"/>
          <w:sz w:val="24"/>
          <w:szCs w:val="24"/>
          <w:lang w:eastAsia="ru-RU"/>
        </w:rPr>
        <w:t xml:space="preserve"> тыс. рублей, в том числе на дорожную деятельность в отношении автомобильных дорог местного значения вне границ населенных пунктов в границах муниципального района израсходовано на сумму 5 878,2 тыс. рублей, на капитальный ремонт и ремонт дворовых территорий из областного бюджета израсходовано 7 938,8 тыс. рублей, софинансирование к ним 80,2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На другие вопросы в области национальной экономики профинансировано 1,9 тыс. рублей, из них из местного бюджета на проведение информационных и </w:t>
      </w:r>
      <w:proofErr w:type="spellStart"/>
      <w:r w:rsidRPr="005277B3">
        <w:rPr>
          <w:rFonts w:ascii="Times New Roman" w:eastAsia="Times New Roman" w:hAnsi="Times New Roman" w:cs="Calibri"/>
          <w:color w:val="000000"/>
          <w:sz w:val="24"/>
          <w:szCs w:val="24"/>
          <w:lang w:eastAsia="ru-RU"/>
        </w:rPr>
        <w:t>выстовочно</w:t>
      </w:r>
      <w:proofErr w:type="spellEnd"/>
      <w:r w:rsidRPr="005277B3">
        <w:rPr>
          <w:rFonts w:ascii="Times New Roman" w:eastAsia="Times New Roman" w:hAnsi="Times New Roman" w:cs="Calibri"/>
          <w:color w:val="000000"/>
          <w:sz w:val="24"/>
          <w:szCs w:val="24"/>
          <w:lang w:eastAsia="ru-RU"/>
        </w:rPr>
        <w:t>-ярмарочных мероприятий израсходовано 1,9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Жилищно-коммунальное хозяйство</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Расходы по разделу "</w:t>
      </w:r>
      <w:proofErr w:type="spellStart"/>
      <w:r w:rsidRPr="005277B3">
        <w:rPr>
          <w:rFonts w:ascii="Times New Roman" w:eastAsia="Times New Roman" w:hAnsi="Times New Roman" w:cs="Calibri"/>
          <w:color w:val="000000"/>
          <w:sz w:val="24"/>
          <w:szCs w:val="24"/>
          <w:lang w:eastAsia="ru-RU"/>
        </w:rPr>
        <w:t>Жилищно</w:t>
      </w:r>
      <w:proofErr w:type="spellEnd"/>
      <w:r w:rsidRPr="005277B3">
        <w:rPr>
          <w:rFonts w:ascii="Times New Roman" w:eastAsia="Times New Roman" w:hAnsi="Times New Roman" w:cs="Calibri"/>
          <w:color w:val="000000"/>
          <w:sz w:val="24"/>
          <w:szCs w:val="24"/>
          <w:lang w:eastAsia="ru-RU"/>
        </w:rPr>
        <w:t xml:space="preserve"> - коммунальное хо</w:t>
      </w:r>
      <w:r w:rsidR="003F0D55">
        <w:rPr>
          <w:rFonts w:ascii="Times New Roman" w:eastAsia="Times New Roman" w:hAnsi="Times New Roman" w:cs="Calibri"/>
          <w:color w:val="000000"/>
          <w:sz w:val="24"/>
          <w:szCs w:val="24"/>
          <w:lang w:eastAsia="ru-RU"/>
        </w:rPr>
        <w:t>зяйство" в 2023 году составили 6 544,4</w:t>
      </w:r>
      <w:r w:rsidRPr="005277B3">
        <w:rPr>
          <w:rFonts w:ascii="Times New Roman" w:eastAsia="Times New Roman" w:hAnsi="Times New Roman" w:cs="Calibri"/>
          <w:color w:val="000000"/>
          <w:sz w:val="24"/>
          <w:szCs w:val="24"/>
          <w:lang w:eastAsia="ru-RU"/>
        </w:rPr>
        <w:t xml:space="preserve"> тыс. рублей.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Расходы на жилищное хозяйство составил 596,1 тыс. рублей, в том числе на расходы по капитальному ремонту жилого фонда из местного бюджета 596,1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Расходы на коммунальное хозяйство составили в сумме 2 763,9 тыс. рублей, в том числе на выполнение мероприятий в области коммунального хозяйства из районного бюджета на приобретение котлов для котельных 2 180,1 тыс. рублей, на оплату взносов на капремонт 462,9 тыс. рублей, на мероприятия по энергосбережению в сумме 82,5 тыс. рублей, из резервного фонда района 38,4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Расходы на благо</w:t>
      </w:r>
      <w:r w:rsidR="003F0D55">
        <w:rPr>
          <w:rFonts w:ascii="Times New Roman" w:eastAsia="Times New Roman" w:hAnsi="Times New Roman" w:cs="Calibri"/>
          <w:color w:val="000000"/>
          <w:sz w:val="24"/>
          <w:szCs w:val="24"/>
          <w:lang w:eastAsia="ru-RU"/>
        </w:rPr>
        <w:t>устройство произведены в сумме 3</w:t>
      </w:r>
      <w:r w:rsidRPr="005277B3">
        <w:rPr>
          <w:rFonts w:ascii="Times New Roman" w:eastAsia="Times New Roman" w:hAnsi="Times New Roman" w:cs="Calibri"/>
          <w:color w:val="000000"/>
          <w:sz w:val="24"/>
          <w:szCs w:val="24"/>
          <w:lang w:eastAsia="ru-RU"/>
        </w:rPr>
        <w:t xml:space="preserve"> </w:t>
      </w:r>
      <w:r w:rsidR="003F0D55">
        <w:rPr>
          <w:rFonts w:ascii="Times New Roman" w:eastAsia="Times New Roman" w:hAnsi="Times New Roman" w:cs="Calibri"/>
          <w:color w:val="000000"/>
          <w:sz w:val="24"/>
          <w:szCs w:val="24"/>
          <w:lang w:eastAsia="ru-RU"/>
        </w:rPr>
        <w:t>1</w:t>
      </w:r>
      <w:r w:rsidRPr="005277B3">
        <w:rPr>
          <w:rFonts w:ascii="Times New Roman" w:eastAsia="Times New Roman" w:hAnsi="Times New Roman" w:cs="Calibri"/>
          <w:color w:val="000000"/>
          <w:sz w:val="24"/>
          <w:szCs w:val="24"/>
          <w:lang w:eastAsia="ru-RU"/>
        </w:rPr>
        <w:t>8</w:t>
      </w:r>
      <w:r w:rsidR="003F0D55">
        <w:rPr>
          <w:rFonts w:ascii="Times New Roman" w:eastAsia="Times New Roman" w:hAnsi="Times New Roman" w:cs="Calibri"/>
          <w:color w:val="000000"/>
          <w:sz w:val="24"/>
          <w:szCs w:val="24"/>
          <w:lang w:eastAsia="ru-RU"/>
        </w:rPr>
        <w:t>4</w:t>
      </w:r>
      <w:r w:rsidRPr="005277B3">
        <w:rPr>
          <w:rFonts w:ascii="Times New Roman" w:eastAsia="Times New Roman" w:hAnsi="Times New Roman" w:cs="Calibri"/>
          <w:color w:val="000000"/>
          <w:sz w:val="24"/>
          <w:szCs w:val="24"/>
          <w:lang w:eastAsia="ru-RU"/>
        </w:rPr>
        <w:t>,4 тысяч рублей. Из бюджета района израсходовано 2639,3 тыс. рублей, в том числе на поддержку государственных субъектов РФ и муниципальных программ формирования современной городской среды 1 710 тыс. рублей, в том числе из федерального бюджета 1 692,9 тыс. рублей, из областного бюджета в сумме 17,1 тыс. рублей; из областного бюджета израсходовано в сфере увековечения памяти погибших при защите Отечества в сумме 29,3 тыс. рублей; из резервного фонда Правительства области выделено 500 тыс. рублей на прио</w:t>
      </w:r>
      <w:r w:rsidR="003F0D55">
        <w:rPr>
          <w:rFonts w:ascii="Times New Roman" w:eastAsia="Times New Roman" w:hAnsi="Times New Roman" w:cs="Calibri"/>
          <w:color w:val="000000"/>
          <w:sz w:val="24"/>
          <w:szCs w:val="24"/>
          <w:lang w:eastAsia="ru-RU"/>
        </w:rPr>
        <w:t>бретение контейнеров для мусора;</w:t>
      </w:r>
      <w:r w:rsidRPr="005277B3">
        <w:rPr>
          <w:rFonts w:ascii="Times New Roman" w:eastAsia="Times New Roman" w:hAnsi="Times New Roman" w:cs="Calibri"/>
          <w:color w:val="000000"/>
          <w:sz w:val="24"/>
          <w:szCs w:val="24"/>
          <w:lang w:eastAsia="ru-RU"/>
        </w:rPr>
        <w:t xml:space="preserve"> в связи с выигрышем по голосованию на прочие мероприятия по благоустройству </w:t>
      </w:r>
      <w:r w:rsidR="003F0D55">
        <w:rPr>
          <w:rFonts w:ascii="Times New Roman" w:eastAsia="Times New Roman" w:hAnsi="Times New Roman" w:cs="Calibri"/>
          <w:color w:val="000000"/>
          <w:sz w:val="24"/>
          <w:szCs w:val="24"/>
          <w:lang w:eastAsia="ru-RU"/>
        </w:rPr>
        <w:t xml:space="preserve">из дотации по сбалансированности </w:t>
      </w:r>
      <w:r w:rsidRPr="005277B3">
        <w:rPr>
          <w:rFonts w:ascii="Times New Roman" w:eastAsia="Times New Roman" w:hAnsi="Times New Roman" w:cs="Calibri"/>
          <w:color w:val="000000"/>
          <w:sz w:val="24"/>
          <w:szCs w:val="24"/>
          <w:lang w:eastAsia="ru-RU"/>
        </w:rPr>
        <w:t xml:space="preserve">потрачено 400 тыс. </w:t>
      </w:r>
      <w:r w:rsidR="003F0D55">
        <w:rPr>
          <w:rFonts w:ascii="Times New Roman" w:eastAsia="Times New Roman" w:hAnsi="Times New Roman" w:cs="Calibri"/>
          <w:color w:val="000000"/>
          <w:sz w:val="24"/>
          <w:szCs w:val="24"/>
          <w:lang w:eastAsia="ru-RU"/>
        </w:rPr>
        <w:t xml:space="preserve">рублей на приобретение фонтана; </w:t>
      </w:r>
      <w:r w:rsidRPr="005277B3">
        <w:rPr>
          <w:rFonts w:ascii="Times New Roman" w:eastAsia="Times New Roman" w:hAnsi="Times New Roman" w:cs="Calibri"/>
          <w:color w:val="000000"/>
          <w:sz w:val="24"/>
          <w:szCs w:val="24"/>
          <w:lang w:eastAsia="ru-RU"/>
        </w:rPr>
        <w:t>на обустройство и восстановление воинских захоронений  в сумме 255,1 тыс. рублей, из них из федерального бюджета 250 тыс. рублей, из областного бюджета 2,5 тыс. рублей, из местного бюджета 2,5 тыс. рублей; на поддержку проектов территориального общественного самоуправления в с</w:t>
      </w:r>
      <w:r w:rsidR="003F0D55">
        <w:rPr>
          <w:rFonts w:ascii="Times New Roman" w:eastAsia="Times New Roman" w:hAnsi="Times New Roman" w:cs="Calibri"/>
          <w:color w:val="000000"/>
          <w:sz w:val="24"/>
          <w:szCs w:val="24"/>
          <w:lang w:eastAsia="ru-RU"/>
        </w:rPr>
        <w:t>умме 290 тыс. рублей, на проч</w:t>
      </w:r>
      <w:r w:rsidRPr="005277B3">
        <w:rPr>
          <w:rFonts w:ascii="Times New Roman" w:eastAsia="Times New Roman" w:hAnsi="Times New Roman" w:cs="Calibri"/>
          <w:color w:val="000000"/>
          <w:sz w:val="24"/>
          <w:szCs w:val="24"/>
          <w:lang w:eastAsia="ru-RU"/>
        </w:rPr>
        <w:t xml:space="preserve">ие расходы по благоустройству 7 128,8 тыс. рублей.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Охрана окружающей среды</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Исполнение по расходам за 2023 год при плане </w:t>
      </w:r>
      <w:r w:rsidR="0054681F">
        <w:rPr>
          <w:rFonts w:ascii="Times New Roman" w:eastAsia="Times New Roman" w:hAnsi="Times New Roman" w:cs="Calibri"/>
          <w:color w:val="000000"/>
          <w:sz w:val="24"/>
          <w:szCs w:val="24"/>
          <w:lang w:eastAsia="ru-RU"/>
        </w:rPr>
        <w:t>9 307,5</w:t>
      </w:r>
      <w:r w:rsidRPr="005277B3">
        <w:rPr>
          <w:rFonts w:ascii="Times New Roman" w:eastAsia="Times New Roman" w:hAnsi="Times New Roman" w:cs="Calibri"/>
          <w:color w:val="000000"/>
          <w:sz w:val="24"/>
          <w:szCs w:val="24"/>
          <w:lang w:eastAsia="ru-RU"/>
        </w:rPr>
        <w:t xml:space="preserve"> тыс. рублей составило 473,7 тыс. рублей. Субсидии муниципальным образованиям на реализацию мероприятий по обеспечению безопасности гидротехнических сооружений освоено в сумме 401,1 тыс. рублей, софинансирование из местного бюджета составило 4 тыс. рублей, расходы на осуществление мероприятий по снижению негативного воздействия на окружающую среду составили 68,5 тыс. рублей. Уменьшение расходов от запланированных средств по охране окружающей среды произошла в связи с переносом лимитов по субсидии на софинансирование мероприятий по рекультивации объектов размещения отходов, не </w:t>
      </w:r>
      <w:r w:rsidRPr="005277B3">
        <w:rPr>
          <w:rFonts w:ascii="Times New Roman" w:eastAsia="Times New Roman" w:hAnsi="Times New Roman" w:cs="Calibri"/>
          <w:color w:val="000000"/>
          <w:sz w:val="24"/>
          <w:szCs w:val="24"/>
          <w:lang w:eastAsia="ru-RU"/>
        </w:rPr>
        <w:lastRenderedPageBreak/>
        <w:t>включенных в Государственный реестр объектов размещения отходов в сумме 8 289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Образование</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Исполнение по расходам за 2023 год при плане 82 976,5 тыс. рублей составило 81 145,5 тыс. рублей, в том числе израсходовано на дошкольное образование 14 144 тыс. рублей, на общее образование 55250,6 тыс. рублей, на дополнительное образование 11 014,5 тыс. рублей, на другие вопросы в области образования израсходовано 736,4 тыс. рублей.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На дошкольное образование из местного бюджета освоено 4 919,7 тыс. рублей, из областного бюджета 9 224,3 тыс. рублей, из них по субвенции по оплате труда педагогов 8 694 тыс. рублей, на оплату коммунальных услуг работникам, проживающим и работающим в сельских населенных пунктах 193 тыс. рублей; на обеспечение и воспитание детей-инвалидов 267,4 тыс. рублей; по созданию условий для осуществления и присмотра детей-инвалидов 69,9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На общее образование по местному бюджету израсходовано 14 189,9 тыс. рублей, в том числе на проведение системных мероприятий по противодействию терроризму: на установку домофонов и видеонаблюдения на территории спортивной площадки общеобразовательных учреждений потрачено 116,9 тыс. рублей. На организацию горячего питания обучающих израсходовано 2 007,4 тыс. рублей, их них 1 967,4 тыс. рублей из федерального бюджета 19,9 тыс. рублей, из местного бюджета 20 тыс. рублей; на классное руководство выделено из областного бюджета 340,3 тыс. рублей; из федерального бюджета 2 896,5 тыс. рублей; на реализацию основных общеобразовательных программ в части финансирования расходов на оплату труда, расходов, обеспечивающих организацию учебного процесса в учреждениях 34 081 тыс. рублей; из областного бюджета на оплату коммунальных услуг работникам, проживающим и работающим в сельских населенных пунктах 586 тыс. рублей; на совершенствование организации питания учащихся в общеобразовательных учреждениях 958,4  тыс. рублей; расходы на предоставление педагогическим работникам отдельных мер социальной поддержки 110 тыс. рублей;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81,1 тыс. рублей, в том числе из федерального бюджета 80,2 тыс. рублей, из областного 0,8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На дополнительное образование детей израсходовано из местного бюджета 10 122,2 тыс. рублей, в том числе на проведение системных мероприятий по противодействию терроризму: на установку домофонов в доме детского творчества 69,2 тыс. рублей. По субвенции на реализацию дополнительного образования детей и обучение их шахматной грамоте в муниципальных образовательных учреждениях из областного бюджета израсходовано 806 тыс. рублей, из областного бюджета на оплату коммунальных услуг работникам, проживающим и работающим в сельских населенных пунктах 86,3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На другие вопросы в области образования израсходовано 736,4 тыс. рублей. Обеспечение мероприятий по расходам по молодежной политике и оздоровлению детей в сумме 273,9 тыс. рублей. Из областного бюджета на выплату компенсации педагогическим работникам за работу по проведению государственной итоговой аттестации учащихся 422 тыс. рублей.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культурно-массовых мероприятий из областного бюджета составили 10,4 тыс. рублей, софинансирование к ним из местного бюджета 0,1 тыс. рублей. На мероприятия по проведению оздоровительной кампании детей из местного бюджета 30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Культура</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lastRenderedPageBreak/>
        <w:t>Расходы по разделу "Культура" в 2023 году при плане 18 033,3 тыс. рублей составили 17169 тыс. рублей, в том числе на обеспечение деятельности библиотек 3 563,3 тыс. рублей, на компенсацию расходов по оплате коммунальных услуг работникам библиотечного дела 280,9 тыс. рублей, на обеспечение учреждений культуры 11 441,5 тыс. рублей, на компенсацию расходов по оплате коммунальных услуг работникам культурно-досугового обслуживания 158 тыс. рублей. Расходы по субсидии на обеспечение развития и укрепления материально-технической базы домов культуры составили 969,3 тыс. рублей, из них из федерального бюджета 950 тыс. рублей, из областного бюджета 9,6 тыс. рублей, из местного бюджета 2,5 тыс. рублей. Расходы по субсидии на развитие институтов территориального общественного самоуправления и поддержку проектов местных инициатив из областного бюджета составили 710 тыс. рублей</w:t>
      </w:r>
      <w:r w:rsidR="0054681F">
        <w:rPr>
          <w:rFonts w:ascii="Times New Roman" w:eastAsia="Times New Roman" w:hAnsi="Times New Roman" w:cs="Calibri"/>
          <w:color w:val="000000"/>
          <w:sz w:val="24"/>
          <w:szCs w:val="24"/>
          <w:lang w:eastAsia="ru-RU"/>
        </w:rPr>
        <w:t xml:space="preserve"> </w:t>
      </w:r>
      <w:r w:rsidRPr="005277B3">
        <w:rPr>
          <w:rFonts w:ascii="Times New Roman" w:eastAsia="Times New Roman" w:hAnsi="Times New Roman" w:cs="Calibri"/>
          <w:color w:val="000000"/>
          <w:sz w:val="24"/>
          <w:szCs w:val="24"/>
          <w:lang w:eastAsia="ru-RU"/>
        </w:rPr>
        <w:t>и софинанс</w:t>
      </w:r>
      <w:r w:rsidR="0054681F">
        <w:rPr>
          <w:rFonts w:ascii="Times New Roman" w:eastAsia="Times New Roman" w:hAnsi="Times New Roman" w:cs="Calibri"/>
          <w:color w:val="000000"/>
          <w:sz w:val="24"/>
          <w:szCs w:val="24"/>
          <w:lang w:eastAsia="ru-RU"/>
        </w:rPr>
        <w:t>ирования к ним из местного бюдже</w:t>
      </w:r>
      <w:r w:rsidRPr="005277B3">
        <w:rPr>
          <w:rFonts w:ascii="Times New Roman" w:eastAsia="Times New Roman" w:hAnsi="Times New Roman" w:cs="Calibri"/>
          <w:color w:val="000000"/>
          <w:sz w:val="24"/>
          <w:szCs w:val="24"/>
          <w:lang w:eastAsia="ru-RU"/>
        </w:rPr>
        <w:t>та 46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Социальная политика</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Расходы по разделу "Социальная политика" в 2023 году при плане </w:t>
      </w:r>
      <w:r w:rsidR="0054681F">
        <w:rPr>
          <w:rFonts w:ascii="Times New Roman" w:eastAsia="Times New Roman" w:hAnsi="Times New Roman" w:cs="Calibri"/>
          <w:color w:val="000000"/>
          <w:sz w:val="24"/>
          <w:szCs w:val="24"/>
          <w:lang w:eastAsia="ru-RU"/>
        </w:rPr>
        <w:t>2886,3</w:t>
      </w:r>
      <w:r w:rsidRPr="005277B3">
        <w:rPr>
          <w:rFonts w:ascii="Times New Roman" w:eastAsia="Times New Roman" w:hAnsi="Times New Roman" w:cs="Calibri"/>
          <w:color w:val="000000"/>
          <w:sz w:val="24"/>
          <w:szCs w:val="24"/>
          <w:lang w:eastAsia="ru-RU"/>
        </w:rPr>
        <w:t xml:space="preserve"> тыс. рублей составили </w:t>
      </w:r>
      <w:r w:rsidR="0054681F">
        <w:rPr>
          <w:rFonts w:ascii="Times New Roman" w:eastAsia="Times New Roman" w:hAnsi="Times New Roman" w:cs="Calibri"/>
          <w:color w:val="000000"/>
          <w:sz w:val="24"/>
          <w:szCs w:val="24"/>
          <w:lang w:eastAsia="ru-RU"/>
        </w:rPr>
        <w:t>2719,4</w:t>
      </w:r>
      <w:r w:rsidRPr="005277B3">
        <w:rPr>
          <w:rFonts w:ascii="Times New Roman" w:eastAsia="Times New Roman" w:hAnsi="Times New Roman" w:cs="Calibri"/>
          <w:color w:val="000000"/>
          <w:sz w:val="24"/>
          <w:szCs w:val="24"/>
          <w:lang w:eastAsia="ru-RU"/>
        </w:rPr>
        <w:t xml:space="preserve"> тыс. рублей, из них доплаты к п</w:t>
      </w:r>
      <w:r w:rsidR="0054681F">
        <w:rPr>
          <w:rFonts w:ascii="Times New Roman" w:eastAsia="Times New Roman" w:hAnsi="Times New Roman" w:cs="Calibri"/>
          <w:color w:val="000000"/>
          <w:sz w:val="24"/>
          <w:szCs w:val="24"/>
          <w:lang w:eastAsia="ru-RU"/>
        </w:rPr>
        <w:t>енсиям из местного бюджета 920,3</w:t>
      </w:r>
      <w:r w:rsidRPr="005277B3">
        <w:rPr>
          <w:rFonts w:ascii="Times New Roman" w:eastAsia="Times New Roman" w:hAnsi="Times New Roman" w:cs="Calibri"/>
          <w:color w:val="000000"/>
          <w:sz w:val="24"/>
          <w:szCs w:val="24"/>
          <w:lang w:eastAsia="ru-RU"/>
        </w:rPr>
        <w:t xml:space="preserve"> тыс. рублей, из обла</w:t>
      </w:r>
      <w:r w:rsidR="0054681F">
        <w:rPr>
          <w:rFonts w:ascii="Times New Roman" w:eastAsia="Times New Roman" w:hAnsi="Times New Roman" w:cs="Calibri"/>
          <w:color w:val="000000"/>
          <w:sz w:val="24"/>
          <w:szCs w:val="24"/>
          <w:lang w:eastAsia="ru-RU"/>
        </w:rPr>
        <w:t>стного бюджета 43,2 тыс. рублей</w:t>
      </w:r>
      <w:r w:rsidRPr="005277B3">
        <w:rPr>
          <w:rFonts w:ascii="Times New Roman" w:eastAsia="Times New Roman" w:hAnsi="Times New Roman" w:cs="Calibri"/>
          <w:color w:val="000000"/>
          <w:sz w:val="24"/>
          <w:szCs w:val="24"/>
          <w:lang w:eastAsia="ru-RU"/>
        </w:rPr>
        <w:t>. Из резервного фонда выделено 25 тыс. рублей на социальную помощь населению, из областного бюджета израсходовано 228,8 тыс. рублей. Компенсация части родительской платы 623,3 тыс. рублей. Расходы по субвенции на обеспечение жилыми помещениями детей-сирот и детей, оставшихся без попечения родителей на покупку квартир 868,8 тыс. рублей, в том числе из федерального бюджета 860,1 тыс. рублей, из областного 8,7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Физическая культура и спорт</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Исполнение по расходам за 2023 год составило 1258,1 тыс. рублей, в том числе из местного бюджета 759,5 тыс. рублей; из областного бюджета на мероприятия связанные с участием спортсменов в официальных спортивных и физкультурных мероприятиях области 211 тыс. рублей и софинансирования к ним 2 тыс. рублей из местного бюджета; выделено средства из резервного фонда Администрации Правительства области на подготовку основания спортивной площадки ГТО в сумме 285,6 тыс. рублей.</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w:t>
      </w:r>
    </w:p>
    <w:p w:rsidR="005277B3" w:rsidRPr="005277B3"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 xml:space="preserve"> Межбюджетные трансферты</w:t>
      </w:r>
    </w:p>
    <w:p w:rsidR="00A14F9B" w:rsidRDefault="005277B3" w:rsidP="005277B3">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r w:rsidRPr="005277B3">
        <w:rPr>
          <w:rFonts w:ascii="Times New Roman" w:eastAsia="Times New Roman" w:hAnsi="Times New Roman" w:cs="Calibri"/>
          <w:color w:val="000000"/>
          <w:sz w:val="24"/>
          <w:szCs w:val="24"/>
          <w:lang w:eastAsia="ru-RU"/>
        </w:rPr>
        <w:t>В рамках межбюджетных отношений из муниципального района поселениям предоставлена дотация в сумме 2 194 тыс. рублей и софинансирование к ним 21,1 тыс. рублей. На межбюджетные трансферты, передаваемые бюджетам поселений на содержание объектов водоснабжения 942 тыс. рублей; межбюджетные трансферты, передаваемые району из поселений на дорожную деятельность в сумме 68,1 тыс. рублей.</w:t>
      </w:r>
    </w:p>
    <w:p w:rsidR="00A14F9B" w:rsidRDefault="00A14F9B" w:rsidP="00BB27C5">
      <w:pPr>
        <w:autoSpaceDE w:val="0"/>
        <w:autoSpaceDN w:val="0"/>
        <w:adjustRightInd w:val="0"/>
        <w:spacing w:after="0" w:line="240" w:lineRule="auto"/>
        <w:ind w:firstLine="700"/>
        <w:jc w:val="both"/>
        <w:rPr>
          <w:rFonts w:ascii="Times New Roman" w:eastAsia="Times New Roman" w:hAnsi="Times New Roman" w:cs="Calibri"/>
          <w:color w:val="000000"/>
          <w:sz w:val="24"/>
          <w:szCs w:val="24"/>
          <w:lang w:eastAsia="ru-RU"/>
        </w:rPr>
      </w:pPr>
    </w:p>
    <w:p w:rsidR="00BB27C5" w:rsidRPr="00BB27C5" w:rsidRDefault="00BB27C5" w:rsidP="00BB27C5">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BB27C5">
        <w:rPr>
          <w:rFonts w:ascii="Times New Roman" w:eastAsia="Times New Roman" w:hAnsi="Times New Roman" w:cs="Calibri"/>
          <w:color w:val="000000"/>
          <w:sz w:val="24"/>
          <w:szCs w:val="24"/>
          <w:lang w:eastAsia="ru-RU"/>
        </w:rPr>
        <w:t xml:space="preserve">Структура расходов муниципального образования «Красногородский район» </w:t>
      </w:r>
    </w:p>
    <w:p w:rsidR="00A14F9B" w:rsidRDefault="00A14F9B" w:rsidP="00BB27C5">
      <w:pPr>
        <w:autoSpaceDE w:val="0"/>
        <w:autoSpaceDN w:val="0"/>
        <w:adjustRightInd w:val="0"/>
        <w:spacing w:after="0" w:line="240" w:lineRule="auto"/>
        <w:jc w:val="both"/>
        <w:rPr>
          <w:rFonts w:ascii="Times New Roman" w:eastAsia="Times New Roman" w:hAnsi="Times New Roman" w:cs="Calibri"/>
          <w:color w:val="000000"/>
          <w:sz w:val="24"/>
          <w:szCs w:val="24"/>
          <w:lang w:eastAsia="ru-RU"/>
        </w:rPr>
      </w:pPr>
    </w:p>
    <w:tbl>
      <w:tblPr>
        <w:tblW w:w="8100" w:type="dxa"/>
        <w:tblInd w:w="-5" w:type="dxa"/>
        <w:tblLook w:val="04A0" w:firstRow="1" w:lastRow="0" w:firstColumn="1" w:lastColumn="0" w:noHBand="0" w:noVBand="1"/>
      </w:tblPr>
      <w:tblGrid>
        <w:gridCol w:w="3820"/>
        <w:gridCol w:w="1369"/>
        <w:gridCol w:w="1480"/>
        <w:gridCol w:w="1440"/>
      </w:tblGrid>
      <w:tr w:rsidR="00A14F9B" w:rsidRPr="00A14F9B" w:rsidTr="00A14F9B">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Утверждено</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Исполнено</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 xml:space="preserve">%  </w:t>
            </w:r>
          </w:p>
        </w:tc>
      </w:tr>
      <w:tr w:rsidR="00A14F9B" w:rsidRPr="00A14F9B" w:rsidTr="00A14F9B">
        <w:trPr>
          <w:trHeight w:val="3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Расходы бюджета - ИТОГО</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176 327</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160 446</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90,99</w:t>
            </w:r>
          </w:p>
        </w:tc>
      </w:tr>
      <w:tr w:rsidR="00A14F9B" w:rsidRPr="00A14F9B" w:rsidTr="00A14F9B">
        <w:trPr>
          <w:trHeight w:val="3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proofErr w:type="gramStart"/>
            <w:r w:rsidRPr="00A14F9B">
              <w:rPr>
                <w:rFonts w:ascii="Times New Roman" w:eastAsia="Times New Roman" w:hAnsi="Times New Roman" w:cs="Times New Roman"/>
                <w:color w:val="000000"/>
                <w:lang w:eastAsia="ru-RU"/>
              </w:rPr>
              <w:t>в</w:t>
            </w:r>
            <w:proofErr w:type="gramEnd"/>
            <w:r w:rsidRPr="00A14F9B">
              <w:rPr>
                <w:rFonts w:ascii="Times New Roman" w:eastAsia="Times New Roman" w:hAnsi="Times New Roman" w:cs="Times New Roman"/>
                <w:color w:val="000000"/>
                <w:lang w:eastAsia="ru-RU"/>
              </w:rPr>
              <w:t xml:space="preserve"> том числе:</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 </w:t>
            </w:r>
          </w:p>
        </w:tc>
      </w:tr>
      <w:tr w:rsidR="00A14F9B" w:rsidRPr="00A14F9B" w:rsidTr="00A14F9B">
        <w:trPr>
          <w:trHeight w:val="6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35 093</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33 085</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94,28</w:t>
            </w:r>
          </w:p>
        </w:tc>
      </w:tr>
      <w:tr w:rsidR="00A14F9B" w:rsidRPr="00A14F9B" w:rsidTr="00A14F9B">
        <w:trPr>
          <w:trHeight w:val="3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НАЦИОНАЛЬНАЯ ОБОРОНА</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517</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517</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100,00</w:t>
            </w:r>
          </w:p>
        </w:tc>
      </w:tr>
      <w:tr w:rsidR="00A14F9B" w:rsidRPr="00A14F9B" w:rsidTr="00A14F9B">
        <w:trPr>
          <w:trHeight w:val="12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316</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308</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97,47</w:t>
            </w:r>
          </w:p>
        </w:tc>
      </w:tr>
      <w:tr w:rsidR="00A14F9B" w:rsidRPr="00A14F9B" w:rsidTr="00A14F9B">
        <w:trPr>
          <w:trHeight w:val="3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НАЦИОНАЛЬНАЯ ЭКОНОМИКА</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15 646</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14070</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89,93</w:t>
            </w:r>
          </w:p>
        </w:tc>
      </w:tr>
      <w:tr w:rsidR="00A14F9B" w:rsidRPr="00A14F9B" w:rsidTr="00A14F9B">
        <w:trPr>
          <w:trHeight w:val="6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lastRenderedPageBreak/>
              <w:t>ЖИЛИЩНО-КОММУНАЛЬНОЕ ХОЗЯЙСТВО</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7 127</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5 544</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77,79</w:t>
            </w:r>
          </w:p>
        </w:tc>
      </w:tr>
      <w:tr w:rsidR="00A14F9B" w:rsidRPr="00A14F9B" w:rsidTr="00A14F9B">
        <w:trPr>
          <w:trHeight w:val="3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ОХРАНА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9308</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474</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5,09</w:t>
            </w:r>
          </w:p>
        </w:tc>
      </w:tr>
      <w:tr w:rsidR="00A14F9B" w:rsidRPr="00A14F9B" w:rsidTr="00A14F9B">
        <w:trPr>
          <w:trHeight w:val="3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ОБРАЗОВАНИЕ</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82 976</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81 145</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97,79</w:t>
            </w:r>
          </w:p>
        </w:tc>
      </w:tr>
      <w:tr w:rsidR="00A14F9B" w:rsidRPr="00A14F9B" w:rsidTr="00A14F9B">
        <w:trPr>
          <w:trHeight w:val="3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КУЛЬТУРА, КИНЕМАТОГРАФИЯ</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118 033</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17 169</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14,55</w:t>
            </w:r>
          </w:p>
        </w:tc>
      </w:tr>
      <w:tr w:rsidR="00A14F9B" w:rsidRPr="00A14F9B" w:rsidTr="00A14F9B">
        <w:trPr>
          <w:trHeight w:val="3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СОЦИАЛЬНАЯ ПОЛИТИКА</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2 886</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2 719</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94,21</w:t>
            </w:r>
          </w:p>
        </w:tc>
      </w:tr>
      <w:tr w:rsidR="00A14F9B" w:rsidRPr="00A14F9B" w:rsidTr="00A14F9B">
        <w:trPr>
          <w:trHeight w:val="6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ФИЗИЧЕСКАЯ КУЛЬТУРА И СПОРТ</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1267</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1258</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99,29</w:t>
            </w:r>
          </w:p>
        </w:tc>
      </w:tr>
      <w:tr w:rsidR="00A14F9B" w:rsidRPr="00A14F9B" w:rsidTr="00A14F9B">
        <w:trPr>
          <w:trHeight w:val="6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 xml:space="preserve">МЕЖБЮДЖЕТНЫЕ ТРАНСФЕРТЫ ОБЩЕГО ХАРАКТЕРА </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3 157</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3 157</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100,00</w:t>
            </w:r>
          </w:p>
        </w:tc>
      </w:tr>
      <w:tr w:rsidR="00A14F9B" w:rsidRPr="00A14F9B" w:rsidTr="00A14F9B">
        <w:trPr>
          <w:trHeight w:val="600"/>
        </w:trPr>
        <w:tc>
          <w:tcPr>
            <w:tcW w:w="3820" w:type="dxa"/>
            <w:tcBorders>
              <w:top w:val="nil"/>
              <w:left w:val="single" w:sz="4" w:space="0" w:color="auto"/>
              <w:bottom w:val="single" w:sz="4" w:space="0" w:color="auto"/>
              <w:right w:val="single" w:sz="4" w:space="0" w:color="auto"/>
            </w:tcBorders>
            <w:shd w:val="clear" w:color="auto" w:fill="auto"/>
            <w:hideMark/>
          </w:tcPr>
          <w:p w:rsidR="00A14F9B" w:rsidRPr="00A14F9B" w:rsidRDefault="00A14F9B" w:rsidP="00A14F9B">
            <w:pPr>
              <w:spacing w:after="0" w:line="240" w:lineRule="auto"/>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Результат исполнения бюджета (дефицит / профицит)</w:t>
            </w:r>
          </w:p>
        </w:tc>
        <w:tc>
          <w:tcPr>
            <w:tcW w:w="136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-1 946</w:t>
            </w:r>
          </w:p>
        </w:tc>
        <w:tc>
          <w:tcPr>
            <w:tcW w:w="148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Times New Roman" w:eastAsia="Times New Roman" w:hAnsi="Times New Roman" w:cs="Times New Roman"/>
                <w:color w:val="000000"/>
                <w:lang w:eastAsia="ru-RU"/>
              </w:rPr>
            </w:pPr>
            <w:r w:rsidRPr="00A14F9B">
              <w:rPr>
                <w:rFonts w:ascii="Times New Roman" w:eastAsia="Times New Roman" w:hAnsi="Times New Roman" w:cs="Times New Roman"/>
                <w:color w:val="000000"/>
                <w:lang w:eastAsia="ru-RU"/>
              </w:rPr>
              <w:t>3 320</w:t>
            </w:r>
          </w:p>
        </w:tc>
        <w:tc>
          <w:tcPr>
            <w:tcW w:w="1440" w:type="dxa"/>
            <w:tcBorders>
              <w:top w:val="nil"/>
              <w:left w:val="nil"/>
              <w:bottom w:val="single" w:sz="4" w:space="0" w:color="auto"/>
              <w:right w:val="single" w:sz="4" w:space="0" w:color="auto"/>
            </w:tcBorders>
            <w:shd w:val="clear" w:color="auto" w:fill="auto"/>
            <w:noWrap/>
            <w:vAlign w:val="bottom"/>
            <w:hideMark/>
          </w:tcPr>
          <w:p w:rsidR="00A14F9B" w:rsidRPr="00A14F9B" w:rsidRDefault="00A14F9B" w:rsidP="00A14F9B">
            <w:pPr>
              <w:spacing w:after="0" w:line="240" w:lineRule="auto"/>
              <w:jc w:val="center"/>
              <w:rPr>
                <w:rFonts w:ascii="Calibri" w:eastAsia="Times New Roman" w:hAnsi="Calibri" w:cs="Calibri"/>
                <w:color w:val="000000"/>
                <w:lang w:eastAsia="ru-RU"/>
              </w:rPr>
            </w:pPr>
            <w:r w:rsidRPr="00A14F9B">
              <w:rPr>
                <w:rFonts w:ascii="Calibri" w:eastAsia="Times New Roman" w:hAnsi="Calibri" w:cs="Calibri"/>
                <w:color w:val="000000"/>
                <w:lang w:eastAsia="ru-RU"/>
              </w:rPr>
              <w:t>-170,61</w:t>
            </w:r>
          </w:p>
        </w:tc>
      </w:tr>
    </w:tbl>
    <w:p w:rsidR="00BB27C5" w:rsidRPr="00BB27C5" w:rsidRDefault="00BB27C5" w:rsidP="00BB27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7C5">
        <w:rPr>
          <w:rFonts w:ascii="Times New Roman" w:eastAsia="Times New Roman" w:hAnsi="Times New Roman" w:cs="Calibri"/>
          <w:color w:val="000000"/>
          <w:sz w:val="24"/>
          <w:szCs w:val="24"/>
          <w:lang w:eastAsia="ru-RU"/>
        </w:rPr>
        <w:t> </w:t>
      </w:r>
    </w:p>
    <w:p w:rsidR="00A14F9B" w:rsidRDefault="00A14F9B" w:rsidP="00BB27C5">
      <w:pPr>
        <w:autoSpaceDE w:val="0"/>
        <w:autoSpaceDN w:val="0"/>
        <w:adjustRightInd w:val="0"/>
        <w:spacing w:after="0" w:line="240" w:lineRule="auto"/>
        <w:ind w:firstLine="360"/>
        <w:jc w:val="both"/>
        <w:rPr>
          <w:rFonts w:ascii="Times New Roman" w:eastAsia="Times New Roman" w:hAnsi="Times New Roman" w:cs="Calibri"/>
          <w:color w:val="000000"/>
          <w:sz w:val="24"/>
          <w:szCs w:val="24"/>
          <w:lang w:eastAsia="ru-RU"/>
        </w:rPr>
      </w:pPr>
      <w:r>
        <w:rPr>
          <w:noProof/>
          <w:lang w:eastAsia="ru-RU"/>
        </w:rPr>
        <w:drawing>
          <wp:inline distT="0" distB="0" distL="0" distR="0" wp14:anchorId="31578A33" wp14:editId="503FEEEF">
            <wp:extent cx="5767070" cy="4352925"/>
            <wp:effectExtent l="0" t="0" r="508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86F06" w:rsidRDefault="00786F06" w:rsidP="00BB27C5">
      <w:pPr>
        <w:autoSpaceDE w:val="0"/>
        <w:autoSpaceDN w:val="0"/>
        <w:adjustRightInd w:val="0"/>
        <w:spacing w:after="0" w:line="240" w:lineRule="auto"/>
        <w:jc w:val="both"/>
        <w:rPr>
          <w:rFonts w:ascii="Times New Roman" w:eastAsia="Times New Roman" w:hAnsi="Times New Roman" w:cs="Calibri"/>
          <w:color w:val="000000"/>
          <w:sz w:val="24"/>
          <w:szCs w:val="24"/>
          <w:lang w:eastAsia="ru-RU"/>
        </w:rPr>
      </w:pPr>
      <w:bookmarkStart w:id="0" w:name="_GoBack"/>
      <w:bookmarkEnd w:id="0"/>
    </w:p>
    <w:tbl>
      <w:tblPr>
        <w:tblW w:w="8700" w:type="dxa"/>
        <w:tblInd w:w="-5" w:type="dxa"/>
        <w:tblLook w:val="04A0" w:firstRow="1" w:lastRow="0" w:firstColumn="1" w:lastColumn="0" w:noHBand="0" w:noVBand="1"/>
      </w:tblPr>
      <w:tblGrid>
        <w:gridCol w:w="2698"/>
        <w:gridCol w:w="960"/>
        <w:gridCol w:w="960"/>
        <w:gridCol w:w="1619"/>
        <w:gridCol w:w="1503"/>
        <w:gridCol w:w="960"/>
      </w:tblGrid>
      <w:tr w:rsidR="00786F06" w:rsidRPr="00786F06" w:rsidTr="00786F06">
        <w:trPr>
          <w:trHeight w:val="300"/>
        </w:trPr>
        <w:tc>
          <w:tcPr>
            <w:tcW w:w="2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Функциональная структура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КБК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 2022год</w:t>
            </w:r>
          </w:p>
        </w:tc>
        <w:tc>
          <w:tcPr>
            <w:tcW w:w="31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2023год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 роста к 2022 году</w:t>
            </w:r>
          </w:p>
        </w:tc>
      </w:tr>
      <w:tr w:rsidR="00786F06" w:rsidRPr="00786F06" w:rsidTr="00786F06">
        <w:trPr>
          <w:trHeight w:val="569"/>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p>
        </w:tc>
        <w:tc>
          <w:tcPr>
            <w:tcW w:w="1619" w:type="dxa"/>
            <w:tcBorders>
              <w:top w:val="nil"/>
              <w:left w:val="nil"/>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Уточненный план на 2023 год</w:t>
            </w:r>
          </w:p>
        </w:tc>
        <w:tc>
          <w:tcPr>
            <w:tcW w:w="1503" w:type="dxa"/>
            <w:tcBorders>
              <w:top w:val="nil"/>
              <w:left w:val="nil"/>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 xml:space="preserve">Исполнение </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p>
        </w:tc>
      </w:tr>
      <w:tr w:rsidR="00786F06" w:rsidRPr="00786F06" w:rsidTr="00786F06">
        <w:trPr>
          <w:trHeight w:val="30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Всего расходов</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right"/>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487604,2</w:t>
            </w:r>
          </w:p>
        </w:tc>
        <w:tc>
          <w:tcPr>
            <w:tcW w:w="1619" w:type="dxa"/>
            <w:tcBorders>
              <w:top w:val="nil"/>
              <w:left w:val="nil"/>
              <w:bottom w:val="single" w:sz="4" w:space="0" w:color="auto"/>
              <w:right w:val="single" w:sz="4" w:space="0" w:color="auto"/>
            </w:tcBorders>
            <w:shd w:val="clear" w:color="auto" w:fill="auto"/>
            <w:noWrap/>
            <w:vAlign w:val="bottom"/>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176 327</w:t>
            </w:r>
          </w:p>
        </w:tc>
        <w:tc>
          <w:tcPr>
            <w:tcW w:w="1503" w:type="dxa"/>
            <w:tcBorders>
              <w:top w:val="nil"/>
              <w:left w:val="nil"/>
              <w:bottom w:val="single" w:sz="4" w:space="0" w:color="auto"/>
              <w:right w:val="single" w:sz="4" w:space="0" w:color="auto"/>
            </w:tcBorders>
            <w:shd w:val="clear" w:color="auto" w:fill="auto"/>
            <w:noWrap/>
            <w:vAlign w:val="bottom"/>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160 446</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32,9</w:t>
            </w:r>
          </w:p>
        </w:tc>
      </w:tr>
      <w:tr w:rsidR="00786F06" w:rsidRPr="00786F06" w:rsidTr="00786F06">
        <w:trPr>
          <w:trHeight w:val="30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proofErr w:type="gramStart"/>
            <w:r w:rsidRPr="00786F06">
              <w:rPr>
                <w:rFonts w:ascii="Times New Roman" w:eastAsia="Times New Roman" w:hAnsi="Times New Roman" w:cs="Times New Roman"/>
                <w:color w:val="000000"/>
                <w:sz w:val="18"/>
                <w:szCs w:val="18"/>
                <w:lang w:eastAsia="ru-RU"/>
              </w:rPr>
              <w:t>в</w:t>
            </w:r>
            <w:proofErr w:type="gramEnd"/>
            <w:r w:rsidRPr="00786F06">
              <w:rPr>
                <w:rFonts w:ascii="Times New Roman" w:eastAsia="Times New Roman" w:hAnsi="Times New Roman" w:cs="Times New Roman"/>
                <w:color w:val="000000"/>
                <w:sz w:val="18"/>
                <w:szCs w:val="18"/>
                <w:lang w:eastAsia="ru-RU"/>
              </w:rPr>
              <w:t xml:space="preserve"> том числе:</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 </w:t>
            </w:r>
          </w:p>
        </w:tc>
        <w:tc>
          <w:tcPr>
            <w:tcW w:w="1619"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 </w:t>
            </w:r>
          </w:p>
        </w:tc>
        <w:tc>
          <w:tcPr>
            <w:tcW w:w="1503"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 </w:t>
            </w:r>
          </w:p>
        </w:tc>
      </w:tr>
      <w:tr w:rsidR="00786F06" w:rsidRPr="00786F06" w:rsidTr="00786F06">
        <w:trPr>
          <w:trHeight w:val="48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32500,1</w:t>
            </w:r>
          </w:p>
        </w:tc>
        <w:tc>
          <w:tcPr>
            <w:tcW w:w="1619"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35 093</w:t>
            </w:r>
          </w:p>
        </w:tc>
        <w:tc>
          <w:tcPr>
            <w:tcW w:w="1503"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33 085</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101,8</w:t>
            </w:r>
          </w:p>
        </w:tc>
      </w:tr>
      <w:tr w:rsidR="00786F06" w:rsidRPr="00786F06" w:rsidTr="00786F06">
        <w:trPr>
          <w:trHeight w:val="30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200</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451,3</w:t>
            </w:r>
          </w:p>
        </w:tc>
        <w:tc>
          <w:tcPr>
            <w:tcW w:w="1619" w:type="dxa"/>
            <w:tcBorders>
              <w:top w:val="nil"/>
              <w:left w:val="nil"/>
              <w:bottom w:val="single" w:sz="4" w:space="0" w:color="auto"/>
              <w:right w:val="single" w:sz="4" w:space="0" w:color="auto"/>
            </w:tcBorders>
            <w:shd w:val="clear" w:color="auto" w:fill="auto"/>
            <w:noWrap/>
            <w:vAlign w:val="bottom"/>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517</w:t>
            </w:r>
          </w:p>
        </w:tc>
        <w:tc>
          <w:tcPr>
            <w:tcW w:w="1503" w:type="dxa"/>
            <w:tcBorders>
              <w:top w:val="nil"/>
              <w:left w:val="nil"/>
              <w:bottom w:val="single" w:sz="4" w:space="0" w:color="auto"/>
              <w:right w:val="single" w:sz="4" w:space="0" w:color="auto"/>
            </w:tcBorders>
            <w:shd w:val="clear" w:color="auto" w:fill="auto"/>
            <w:noWrap/>
            <w:vAlign w:val="bottom"/>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517</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114,6</w:t>
            </w:r>
          </w:p>
        </w:tc>
      </w:tr>
      <w:tr w:rsidR="00786F06" w:rsidRPr="00786F06" w:rsidTr="00786F06">
        <w:trPr>
          <w:trHeight w:val="96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300</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279,7</w:t>
            </w:r>
          </w:p>
        </w:tc>
        <w:tc>
          <w:tcPr>
            <w:tcW w:w="1619"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316</w:t>
            </w:r>
          </w:p>
        </w:tc>
        <w:tc>
          <w:tcPr>
            <w:tcW w:w="1503"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308</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110,1</w:t>
            </w:r>
          </w:p>
        </w:tc>
      </w:tr>
      <w:tr w:rsidR="00786F06" w:rsidRPr="00786F06" w:rsidTr="00786F06">
        <w:trPr>
          <w:trHeight w:val="48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lastRenderedPageBreak/>
              <w:t>НАЦИОНАЛЬНАЯ ЭКОНОМИКА</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400</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351033,4</w:t>
            </w:r>
          </w:p>
        </w:tc>
        <w:tc>
          <w:tcPr>
            <w:tcW w:w="1619"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15 646</w:t>
            </w:r>
          </w:p>
        </w:tc>
        <w:tc>
          <w:tcPr>
            <w:tcW w:w="1503"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14070</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4,0</w:t>
            </w:r>
          </w:p>
        </w:tc>
      </w:tr>
      <w:tr w:rsidR="00786F06" w:rsidRPr="00786F06" w:rsidTr="00786F06">
        <w:trPr>
          <w:trHeight w:val="48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500</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4705,7</w:t>
            </w:r>
          </w:p>
        </w:tc>
        <w:tc>
          <w:tcPr>
            <w:tcW w:w="1619" w:type="dxa"/>
            <w:tcBorders>
              <w:top w:val="nil"/>
              <w:left w:val="nil"/>
              <w:bottom w:val="single" w:sz="4" w:space="0" w:color="auto"/>
              <w:right w:val="single" w:sz="4" w:space="0" w:color="auto"/>
            </w:tcBorders>
            <w:shd w:val="clear" w:color="auto" w:fill="auto"/>
            <w:noWrap/>
            <w:vAlign w:val="bottom"/>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7 127</w:t>
            </w:r>
          </w:p>
        </w:tc>
        <w:tc>
          <w:tcPr>
            <w:tcW w:w="1503" w:type="dxa"/>
            <w:tcBorders>
              <w:top w:val="nil"/>
              <w:left w:val="nil"/>
              <w:bottom w:val="single" w:sz="4" w:space="0" w:color="auto"/>
              <w:right w:val="single" w:sz="4" w:space="0" w:color="auto"/>
            </w:tcBorders>
            <w:shd w:val="clear" w:color="auto" w:fill="auto"/>
            <w:noWrap/>
            <w:vAlign w:val="bottom"/>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5 544</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117,8</w:t>
            </w:r>
          </w:p>
        </w:tc>
      </w:tr>
      <w:tr w:rsidR="00786F06" w:rsidRPr="00786F06" w:rsidTr="00786F06">
        <w:trPr>
          <w:trHeight w:val="30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ОБРАЗОВАНИЕ</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700</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78077,7</w:t>
            </w:r>
          </w:p>
        </w:tc>
        <w:tc>
          <w:tcPr>
            <w:tcW w:w="1619" w:type="dxa"/>
            <w:tcBorders>
              <w:top w:val="nil"/>
              <w:left w:val="nil"/>
              <w:bottom w:val="single" w:sz="4" w:space="0" w:color="auto"/>
              <w:right w:val="single" w:sz="4" w:space="0" w:color="auto"/>
            </w:tcBorders>
            <w:shd w:val="clear" w:color="auto" w:fill="auto"/>
            <w:noWrap/>
            <w:vAlign w:val="bottom"/>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9308</w:t>
            </w:r>
          </w:p>
        </w:tc>
        <w:tc>
          <w:tcPr>
            <w:tcW w:w="1503" w:type="dxa"/>
            <w:tcBorders>
              <w:top w:val="nil"/>
              <w:left w:val="nil"/>
              <w:bottom w:val="single" w:sz="4" w:space="0" w:color="auto"/>
              <w:right w:val="single" w:sz="4" w:space="0" w:color="auto"/>
            </w:tcBorders>
            <w:shd w:val="clear" w:color="auto" w:fill="auto"/>
            <w:noWrap/>
            <w:vAlign w:val="bottom"/>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474</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0,6</w:t>
            </w:r>
          </w:p>
        </w:tc>
      </w:tr>
      <w:tr w:rsidR="00786F06" w:rsidRPr="00786F06" w:rsidTr="00786F06">
        <w:trPr>
          <w:trHeight w:val="48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КУЛЬТУРА, КИНЕМАТОГРАФИЯ</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800</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11793</w:t>
            </w:r>
          </w:p>
        </w:tc>
        <w:tc>
          <w:tcPr>
            <w:tcW w:w="1619"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82 976</w:t>
            </w:r>
          </w:p>
        </w:tc>
        <w:tc>
          <w:tcPr>
            <w:tcW w:w="1503"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81 145</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688,1</w:t>
            </w:r>
          </w:p>
        </w:tc>
      </w:tr>
      <w:tr w:rsidR="00786F06" w:rsidRPr="00786F06" w:rsidTr="00786F06">
        <w:trPr>
          <w:trHeight w:val="30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СОЦИАЛЬНАЯ ПОЛИТИКА</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1000</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1808,3</w:t>
            </w:r>
          </w:p>
        </w:tc>
        <w:tc>
          <w:tcPr>
            <w:tcW w:w="1619" w:type="dxa"/>
            <w:tcBorders>
              <w:top w:val="nil"/>
              <w:left w:val="nil"/>
              <w:bottom w:val="single" w:sz="4" w:space="0" w:color="auto"/>
              <w:right w:val="single" w:sz="4" w:space="0" w:color="auto"/>
            </w:tcBorders>
            <w:shd w:val="clear" w:color="auto" w:fill="auto"/>
            <w:noWrap/>
            <w:vAlign w:val="bottom"/>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118 033</w:t>
            </w:r>
          </w:p>
        </w:tc>
        <w:tc>
          <w:tcPr>
            <w:tcW w:w="1503" w:type="dxa"/>
            <w:tcBorders>
              <w:top w:val="nil"/>
              <w:left w:val="nil"/>
              <w:bottom w:val="single" w:sz="4" w:space="0" w:color="auto"/>
              <w:right w:val="single" w:sz="4" w:space="0" w:color="auto"/>
            </w:tcBorders>
            <w:shd w:val="clear" w:color="auto" w:fill="auto"/>
            <w:noWrap/>
            <w:vAlign w:val="bottom"/>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17 169</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949,5</w:t>
            </w:r>
          </w:p>
        </w:tc>
      </w:tr>
      <w:tr w:rsidR="00786F06" w:rsidRPr="00786F06" w:rsidTr="00786F06">
        <w:trPr>
          <w:trHeight w:val="48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1100</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592</w:t>
            </w:r>
          </w:p>
        </w:tc>
        <w:tc>
          <w:tcPr>
            <w:tcW w:w="1619"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2 886</w:t>
            </w:r>
          </w:p>
        </w:tc>
        <w:tc>
          <w:tcPr>
            <w:tcW w:w="1503"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2 719</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459,3</w:t>
            </w:r>
          </w:p>
        </w:tc>
      </w:tr>
      <w:tr w:rsidR="00786F06" w:rsidRPr="00786F06" w:rsidTr="00786F06">
        <w:trPr>
          <w:trHeight w:val="48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786F06" w:rsidRPr="00786F06" w:rsidRDefault="00786F06" w:rsidP="00786F06">
            <w:pPr>
              <w:spacing w:after="0" w:line="240" w:lineRule="auto"/>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1400</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2846</w:t>
            </w:r>
          </w:p>
        </w:tc>
        <w:tc>
          <w:tcPr>
            <w:tcW w:w="1619"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3 157</w:t>
            </w:r>
          </w:p>
        </w:tc>
        <w:tc>
          <w:tcPr>
            <w:tcW w:w="1503"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color w:val="000000"/>
                <w:sz w:val="18"/>
                <w:szCs w:val="18"/>
                <w:lang w:eastAsia="ru-RU"/>
              </w:rPr>
            </w:pPr>
            <w:r w:rsidRPr="00786F06">
              <w:rPr>
                <w:rFonts w:ascii="Times New Roman" w:eastAsia="Times New Roman" w:hAnsi="Times New Roman" w:cs="Times New Roman"/>
                <w:color w:val="000000"/>
                <w:sz w:val="18"/>
                <w:szCs w:val="18"/>
                <w:lang w:eastAsia="ru-RU"/>
              </w:rPr>
              <w:t>3 157</w:t>
            </w:r>
          </w:p>
        </w:tc>
        <w:tc>
          <w:tcPr>
            <w:tcW w:w="960" w:type="dxa"/>
            <w:tcBorders>
              <w:top w:val="nil"/>
              <w:left w:val="nil"/>
              <w:bottom w:val="single" w:sz="4" w:space="0" w:color="auto"/>
              <w:right w:val="single" w:sz="4" w:space="0" w:color="auto"/>
            </w:tcBorders>
            <w:shd w:val="clear" w:color="auto" w:fill="auto"/>
            <w:noWrap/>
            <w:vAlign w:val="center"/>
            <w:hideMark/>
          </w:tcPr>
          <w:p w:rsidR="00786F06" w:rsidRPr="00786F06" w:rsidRDefault="00786F06" w:rsidP="00786F06">
            <w:pPr>
              <w:spacing w:after="0" w:line="240" w:lineRule="auto"/>
              <w:jc w:val="center"/>
              <w:rPr>
                <w:rFonts w:ascii="Times New Roman" w:eastAsia="Times New Roman" w:hAnsi="Times New Roman" w:cs="Times New Roman"/>
                <w:b/>
                <w:bCs/>
                <w:color w:val="000000"/>
                <w:sz w:val="18"/>
                <w:szCs w:val="18"/>
                <w:lang w:eastAsia="ru-RU"/>
              </w:rPr>
            </w:pPr>
            <w:r w:rsidRPr="00786F06">
              <w:rPr>
                <w:rFonts w:ascii="Times New Roman" w:eastAsia="Times New Roman" w:hAnsi="Times New Roman" w:cs="Times New Roman"/>
                <w:b/>
                <w:bCs/>
                <w:color w:val="000000"/>
                <w:sz w:val="18"/>
                <w:szCs w:val="18"/>
                <w:lang w:eastAsia="ru-RU"/>
              </w:rPr>
              <w:t>110,9</w:t>
            </w:r>
          </w:p>
        </w:tc>
      </w:tr>
    </w:tbl>
    <w:p w:rsidR="00786F06" w:rsidRPr="00BB27C5" w:rsidRDefault="00786F06" w:rsidP="00BB27C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B27C5" w:rsidRPr="00BB27C5" w:rsidRDefault="00BB27C5" w:rsidP="00BB27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7C5">
        <w:rPr>
          <w:rFonts w:ascii="Times New Roman" w:eastAsia="Times New Roman" w:hAnsi="Times New Roman" w:cs="Calibri"/>
          <w:color w:val="000000"/>
          <w:sz w:val="20"/>
          <w:szCs w:val="24"/>
          <w:lang w:eastAsia="ru-RU"/>
        </w:rPr>
        <w:t> </w:t>
      </w:r>
    </w:p>
    <w:p w:rsidR="00BB27C5" w:rsidRPr="00BB27C5" w:rsidRDefault="00BB27C5" w:rsidP="00BB27C5">
      <w:pPr>
        <w:autoSpaceDE w:val="0"/>
        <w:autoSpaceDN w:val="0"/>
        <w:adjustRightInd w:val="0"/>
        <w:spacing w:after="0" w:line="240" w:lineRule="auto"/>
        <w:jc w:val="both"/>
        <w:rPr>
          <w:rFonts w:ascii="Times New Roman" w:eastAsia="Times New Roman" w:hAnsi="Times New Roman" w:cs="Calibri"/>
          <w:sz w:val="24"/>
          <w:szCs w:val="24"/>
          <w:lang w:eastAsia="ru-RU"/>
        </w:rPr>
      </w:pPr>
      <w:r w:rsidRPr="00BB27C5">
        <w:rPr>
          <w:rFonts w:ascii="Calibri" w:eastAsia="Times New Roman" w:hAnsi="Calibri" w:cs="Calibri"/>
          <w:color w:val="000000"/>
          <w:sz w:val="20"/>
          <w:szCs w:val="24"/>
          <w:lang w:eastAsia="ru-RU"/>
        </w:rPr>
        <w:t> </w:t>
      </w:r>
      <w:r w:rsidR="00786F06">
        <w:rPr>
          <w:noProof/>
          <w:lang w:eastAsia="ru-RU"/>
        </w:rPr>
        <w:drawing>
          <wp:inline distT="0" distB="0" distL="0" distR="0" wp14:anchorId="4E3AAC07" wp14:editId="1380D6F0">
            <wp:extent cx="5253038" cy="4605338"/>
            <wp:effectExtent l="0" t="0" r="5080" b="50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B27C5" w:rsidRPr="00BB27C5" w:rsidRDefault="00BB27C5" w:rsidP="00BB27C5">
      <w:pPr>
        <w:autoSpaceDE w:val="0"/>
        <w:autoSpaceDN w:val="0"/>
        <w:adjustRightInd w:val="0"/>
        <w:spacing w:after="0" w:line="240" w:lineRule="auto"/>
        <w:jc w:val="both"/>
        <w:rPr>
          <w:rFonts w:ascii="Times New Roman" w:eastAsia="Times New Roman" w:hAnsi="Times New Roman" w:cs="Calibri"/>
          <w:sz w:val="24"/>
          <w:szCs w:val="24"/>
          <w:lang w:eastAsia="ru-RU"/>
        </w:rPr>
      </w:pPr>
      <w:r w:rsidRPr="00BB27C5">
        <w:rPr>
          <w:rFonts w:ascii="Calibri" w:eastAsia="Times New Roman" w:hAnsi="Calibri" w:cs="Calibri"/>
          <w:color w:val="000000"/>
          <w:sz w:val="20"/>
          <w:szCs w:val="24"/>
          <w:lang w:eastAsia="ru-RU"/>
        </w:rPr>
        <w:t> </w:t>
      </w:r>
    </w:p>
    <w:p w:rsidR="00BB27C5" w:rsidRPr="00BB27C5" w:rsidRDefault="00BB27C5" w:rsidP="00BB27C5">
      <w:pPr>
        <w:autoSpaceDE w:val="0"/>
        <w:autoSpaceDN w:val="0"/>
        <w:adjustRightInd w:val="0"/>
        <w:spacing w:after="0" w:line="276" w:lineRule="auto"/>
        <w:ind w:left="140" w:firstLine="560"/>
        <w:jc w:val="both"/>
        <w:rPr>
          <w:rFonts w:ascii="Times New Roman" w:eastAsia="Times New Roman" w:hAnsi="Times New Roman" w:cs="Calibri"/>
          <w:sz w:val="24"/>
          <w:szCs w:val="24"/>
          <w:lang w:eastAsia="ru-RU"/>
        </w:rPr>
      </w:pPr>
      <w:r w:rsidRPr="00BB27C5">
        <w:rPr>
          <w:rFonts w:ascii="Times New Roman" w:eastAsia="Times New Roman" w:hAnsi="Times New Roman" w:cs="Times New Roman"/>
          <w:color w:val="000000"/>
          <w:szCs w:val="24"/>
          <w:lang w:eastAsia="ru-RU"/>
        </w:rPr>
        <w:t>По программной структуре расходов бюджета учтено 7 муниципальных программ, доля расходов в общем объеме составила 99,9 % в сумме 487171,4 тыс. рублей.</w:t>
      </w:r>
    </w:p>
    <w:p w:rsidR="00BB27C5" w:rsidRPr="00BB27C5" w:rsidRDefault="00BB27C5" w:rsidP="00BB27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7C5">
        <w:rPr>
          <w:rFonts w:ascii="Times New Roman" w:eastAsia="Times New Roman" w:hAnsi="Times New Roman" w:cs="Times New Roman"/>
          <w:color w:val="000000"/>
          <w:szCs w:val="24"/>
          <w:lang w:eastAsia="ru-RU"/>
        </w:rPr>
        <w:t>   Непрограммные расходы 0,1 % от общего объема расходов   в сумме 432,8 тыс. руб</w:t>
      </w:r>
      <w:r w:rsidRPr="00BB27C5">
        <w:rPr>
          <w:rFonts w:ascii="Times New Roman" w:eastAsia="Times New Roman" w:hAnsi="Times New Roman" w:cs="Calibri"/>
          <w:color w:val="000000"/>
          <w:sz w:val="24"/>
          <w:szCs w:val="24"/>
          <w:lang w:eastAsia="ru-RU"/>
        </w:rPr>
        <w:t>лей.</w:t>
      </w:r>
    </w:p>
    <w:p w:rsidR="00BB27C5" w:rsidRPr="00BB27C5" w:rsidRDefault="00BB27C5" w:rsidP="00BB27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7C5">
        <w:rPr>
          <w:rFonts w:ascii="Calibri" w:eastAsia="Times New Roman" w:hAnsi="Calibri" w:cs="Calibri"/>
          <w:color w:val="000000"/>
          <w:sz w:val="20"/>
          <w:szCs w:val="24"/>
          <w:lang w:eastAsia="ru-RU"/>
        </w:rPr>
        <w:t> </w:t>
      </w:r>
    </w:p>
    <w:p w:rsidR="002C59BB" w:rsidRDefault="002C59BB" w:rsidP="00BB27C5">
      <w:pPr>
        <w:autoSpaceDE w:val="0"/>
        <w:autoSpaceDN w:val="0"/>
        <w:adjustRightInd w:val="0"/>
        <w:spacing w:after="0" w:line="240" w:lineRule="auto"/>
        <w:jc w:val="both"/>
        <w:rPr>
          <w:rFonts w:ascii="Times New Roman" w:eastAsia="Times New Roman" w:hAnsi="Times New Roman" w:cs="Calibri"/>
          <w:color w:val="000000"/>
          <w:sz w:val="24"/>
          <w:szCs w:val="24"/>
          <w:lang w:eastAsia="ru-RU"/>
        </w:rPr>
      </w:pPr>
    </w:p>
    <w:p w:rsidR="00BB27C5" w:rsidRDefault="00BB27C5" w:rsidP="00BB27C5">
      <w:pPr>
        <w:autoSpaceDE w:val="0"/>
        <w:autoSpaceDN w:val="0"/>
        <w:adjustRightInd w:val="0"/>
        <w:spacing w:after="0" w:line="240" w:lineRule="auto"/>
        <w:jc w:val="both"/>
        <w:rPr>
          <w:rFonts w:ascii="Times New Roman" w:eastAsia="Times New Roman" w:hAnsi="Times New Roman" w:cs="Calibri"/>
          <w:color w:val="000000"/>
          <w:sz w:val="24"/>
          <w:szCs w:val="24"/>
          <w:lang w:eastAsia="ru-RU"/>
        </w:rPr>
      </w:pPr>
      <w:r w:rsidRPr="00BB27C5">
        <w:rPr>
          <w:rFonts w:ascii="Times New Roman" w:eastAsia="Times New Roman" w:hAnsi="Times New Roman" w:cs="Calibri"/>
          <w:color w:val="000000"/>
          <w:sz w:val="24"/>
          <w:szCs w:val="24"/>
          <w:lang w:eastAsia="ru-RU"/>
        </w:rPr>
        <w:t>Анализ исполнения плановых значений программных расходов в 2023 году.</w:t>
      </w:r>
    </w:p>
    <w:p w:rsidR="002C59BB" w:rsidRPr="00BB27C5" w:rsidRDefault="002C59BB" w:rsidP="00BB27C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345" w:type="dxa"/>
        <w:tblLayout w:type="fixed"/>
        <w:tblLook w:val="04A0" w:firstRow="1" w:lastRow="0" w:firstColumn="1" w:lastColumn="0" w:noHBand="0" w:noVBand="1"/>
      </w:tblPr>
      <w:tblGrid>
        <w:gridCol w:w="772"/>
        <w:gridCol w:w="4139"/>
        <w:gridCol w:w="1288"/>
        <w:gridCol w:w="1026"/>
        <w:gridCol w:w="1275"/>
        <w:gridCol w:w="845"/>
      </w:tblGrid>
      <w:tr w:rsidR="004B061F" w:rsidRPr="004B061F" w:rsidTr="004B061F">
        <w:trPr>
          <w:trHeight w:val="84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Номер МП</w:t>
            </w:r>
          </w:p>
        </w:tc>
        <w:tc>
          <w:tcPr>
            <w:tcW w:w="4139" w:type="dxa"/>
            <w:tcBorders>
              <w:top w:val="single" w:sz="4" w:space="0" w:color="auto"/>
              <w:left w:val="nil"/>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Наименование муниципальной программы</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Уточненный план</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Исполнение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Отклонения (+/-)</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w:t>
            </w:r>
          </w:p>
        </w:tc>
      </w:tr>
      <w:tr w:rsidR="004B061F" w:rsidRPr="004B061F" w:rsidTr="004B061F">
        <w:trPr>
          <w:trHeight w:val="102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lastRenderedPageBreak/>
              <w:t>1</w:t>
            </w:r>
          </w:p>
        </w:tc>
        <w:tc>
          <w:tcPr>
            <w:tcW w:w="4139" w:type="dxa"/>
            <w:tcBorders>
              <w:top w:val="nil"/>
              <w:left w:val="nil"/>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Муниципальная программа "Развитие образования, молодежной политики и физической культуры и спорта в муниципальном образовании""</w:t>
            </w:r>
          </w:p>
        </w:tc>
        <w:tc>
          <w:tcPr>
            <w:tcW w:w="1288"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85936</w:t>
            </w:r>
          </w:p>
        </w:tc>
        <w:tc>
          <w:tcPr>
            <w:tcW w:w="1026"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83943,9</w:t>
            </w:r>
          </w:p>
        </w:tc>
        <w:tc>
          <w:tcPr>
            <w:tcW w:w="127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-1992,1</w:t>
            </w:r>
          </w:p>
        </w:tc>
        <w:tc>
          <w:tcPr>
            <w:tcW w:w="84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97,68</w:t>
            </w:r>
          </w:p>
        </w:tc>
      </w:tr>
      <w:tr w:rsidR="004B061F" w:rsidRPr="004B061F" w:rsidTr="004B061F">
        <w:trPr>
          <w:trHeight w:val="51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2</w:t>
            </w:r>
          </w:p>
        </w:tc>
        <w:tc>
          <w:tcPr>
            <w:tcW w:w="4139" w:type="dxa"/>
            <w:tcBorders>
              <w:top w:val="nil"/>
              <w:left w:val="nil"/>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    Муниципальная программа "Развитие культуры в муниципальном образовании"</w:t>
            </w:r>
          </w:p>
        </w:tc>
        <w:tc>
          <w:tcPr>
            <w:tcW w:w="1288"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18033,3</w:t>
            </w:r>
          </w:p>
        </w:tc>
        <w:tc>
          <w:tcPr>
            <w:tcW w:w="1026"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17169,9</w:t>
            </w:r>
          </w:p>
        </w:tc>
        <w:tc>
          <w:tcPr>
            <w:tcW w:w="127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-863,4</w:t>
            </w:r>
          </w:p>
        </w:tc>
        <w:tc>
          <w:tcPr>
            <w:tcW w:w="84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95,21</w:t>
            </w:r>
          </w:p>
        </w:tc>
      </w:tr>
      <w:tr w:rsidR="004B061F" w:rsidRPr="004B061F" w:rsidTr="004B061F">
        <w:trPr>
          <w:trHeight w:val="102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3</w:t>
            </w:r>
          </w:p>
        </w:tc>
        <w:tc>
          <w:tcPr>
            <w:tcW w:w="4139" w:type="dxa"/>
            <w:tcBorders>
              <w:top w:val="nil"/>
              <w:left w:val="nil"/>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    Муниципальная программа "Содействие экономическому развитию и инвестиционной привлекательности муниципального образования"</w:t>
            </w:r>
          </w:p>
        </w:tc>
        <w:tc>
          <w:tcPr>
            <w:tcW w:w="1288"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3</w:t>
            </w:r>
          </w:p>
        </w:tc>
        <w:tc>
          <w:tcPr>
            <w:tcW w:w="1026"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w:t>
            </w:r>
          </w:p>
        </w:tc>
        <w:tc>
          <w:tcPr>
            <w:tcW w:w="84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66,67</w:t>
            </w:r>
          </w:p>
        </w:tc>
      </w:tr>
      <w:tr w:rsidR="004B061F" w:rsidRPr="004B061F" w:rsidTr="004B061F">
        <w:trPr>
          <w:trHeight w:val="76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4</w:t>
            </w:r>
          </w:p>
        </w:tc>
        <w:tc>
          <w:tcPr>
            <w:tcW w:w="4139" w:type="dxa"/>
            <w:tcBorders>
              <w:top w:val="nil"/>
              <w:left w:val="nil"/>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    Муниципальная программа "Обеспечение безопасности граждан на территории муниципального образования"</w:t>
            </w:r>
          </w:p>
        </w:tc>
        <w:tc>
          <w:tcPr>
            <w:tcW w:w="1288"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4668,9</w:t>
            </w:r>
          </w:p>
        </w:tc>
        <w:tc>
          <w:tcPr>
            <w:tcW w:w="1026"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3723,8</w:t>
            </w:r>
          </w:p>
        </w:tc>
        <w:tc>
          <w:tcPr>
            <w:tcW w:w="127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-945,1</w:t>
            </w:r>
          </w:p>
        </w:tc>
        <w:tc>
          <w:tcPr>
            <w:tcW w:w="84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79,76</w:t>
            </w:r>
          </w:p>
        </w:tc>
      </w:tr>
      <w:tr w:rsidR="004B061F" w:rsidRPr="004B061F" w:rsidTr="004B061F">
        <w:trPr>
          <w:trHeight w:val="127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5</w:t>
            </w:r>
          </w:p>
        </w:tc>
        <w:tc>
          <w:tcPr>
            <w:tcW w:w="4139" w:type="dxa"/>
            <w:tcBorders>
              <w:top w:val="nil"/>
              <w:left w:val="nil"/>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    Муниципальная программа "Комплексное развитие систем коммунальной инфраструктуры и благоустройства муниципального образования"</w:t>
            </w:r>
          </w:p>
        </w:tc>
        <w:tc>
          <w:tcPr>
            <w:tcW w:w="1288"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14573,9</w:t>
            </w:r>
          </w:p>
        </w:tc>
        <w:tc>
          <w:tcPr>
            <w:tcW w:w="1026"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5721,5</w:t>
            </w:r>
          </w:p>
        </w:tc>
        <w:tc>
          <w:tcPr>
            <w:tcW w:w="127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-8852,4</w:t>
            </w:r>
          </w:p>
        </w:tc>
        <w:tc>
          <w:tcPr>
            <w:tcW w:w="84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39,26</w:t>
            </w:r>
          </w:p>
        </w:tc>
      </w:tr>
      <w:tr w:rsidR="004B061F" w:rsidRPr="004B061F" w:rsidTr="004B061F">
        <w:trPr>
          <w:trHeight w:val="76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6</w:t>
            </w:r>
          </w:p>
        </w:tc>
        <w:tc>
          <w:tcPr>
            <w:tcW w:w="4139" w:type="dxa"/>
            <w:tcBorders>
              <w:top w:val="nil"/>
              <w:left w:val="nil"/>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    Муниципальная программа "Развитие транспортного обслуживания населения на территории муниципального образования"</w:t>
            </w:r>
          </w:p>
        </w:tc>
        <w:tc>
          <w:tcPr>
            <w:tcW w:w="1288"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15456</w:t>
            </w:r>
          </w:p>
        </w:tc>
        <w:tc>
          <w:tcPr>
            <w:tcW w:w="1026"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13948,1</w:t>
            </w:r>
          </w:p>
        </w:tc>
        <w:tc>
          <w:tcPr>
            <w:tcW w:w="127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-1507,9</w:t>
            </w:r>
          </w:p>
        </w:tc>
        <w:tc>
          <w:tcPr>
            <w:tcW w:w="84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90,24</w:t>
            </w:r>
          </w:p>
        </w:tc>
      </w:tr>
      <w:tr w:rsidR="004B061F" w:rsidRPr="004B061F" w:rsidTr="004B061F">
        <w:trPr>
          <w:trHeight w:val="153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center"/>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7</w:t>
            </w:r>
          </w:p>
        </w:tc>
        <w:tc>
          <w:tcPr>
            <w:tcW w:w="4139" w:type="dxa"/>
            <w:tcBorders>
              <w:top w:val="nil"/>
              <w:left w:val="nil"/>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c>
          <w:tcPr>
            <w:tcW w:w="1288"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35469,1</w:t>
            </w:r>
          </w:p>
        </w:tc>
        <w:tc>
          <w:tcPr>
            <w:tcW w:w="1026"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33764,6</w:t>
            </w:r>
          </w:p>
        </w:tc>
        <w:tc>
          <w:tcPr>
            <w:tcW w:w="127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-1704,5</w:t>
            </w:r>
          </w:p>
        </w:tc>
        <w:tc>
          <w:tcPr>
            <w:tcW w:w="84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95,19</w:t>
            </w:r>
          </w:p>
        </w:tc>
      </w:tr>
      <w:tr w:rsidR="004B061F" w:rsidRPr="004B061F" w:rsidTr="004B061F">
        <w:trPr>
          <w:trHeight w:val="300"/>
        </w:trPr>
        <w:tc>
          <w:tcPr>
            <w:tcW w:w="49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061F" w:rsidRPr="004B061F" w:rsidRDefault="004B061F" w:rsidP="004B061F">
            <w:pPr>
              <w:spacing w:after="0" w:line="240" w:lineRule="auto"/>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Итого программные расходы</w:t>
            </w:r>
          </w:p>
        </w:tc>
        <w:tc>
          <w:tcPr>
            <w:tcW w:w="1288"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2187</w:t>
            </w:r>
          </w:p>
        </w:tc>
        <w:tc>
          <w:tcPr>
            <w:tcW w:w="1026"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Calibri" w:eastAsia="Times New Roman" w:hAnsi="Calibri" w:cs="Calibri"/>
                <w:color w:val="000000"/>
                <w:sz w:val="18"/>
                <w:szCs w:val="18"/>
                <w:lang w:eastAsia="ru-RU"/>
              </w:rPr>
            </w:pPr>
            <w:r w:rsidRPr="004B061F">
              <w:rPr>
                <w:rFonts w:ascii="Calibri" w:eastAsia="Times New Roman" w:hAnsi="Calibri" w:cs="Calibri"/>
                <w:color w:val="000000"/>
                <w:sz w:val="18"/>
                <w:szCs w:val="18"/>
                <w:lang w:eastAsia="ru-RU"/>
              </w:rPr>
              <w:t>2173,3</w:t>
            </w:r>
          </w:p>
        </w:tc>
        <w:tc>
          <w:tcPr>
            <w:tcW w:w="127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-13,7</w:t>
            </w:r>
          </w:p>
        </w:tc>
        <w:tc>
          <w:tcPr>
            <w:tcW w:w="84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99,37</w:t>
            </w:r>
          </w:p>
        </w:tc>
      </w:tr>
      <w:tr w:rsidR="004B061F" w:rsidRPr="004B061F" w:rsidTr="004B061F">
        <w:trPr>
          <w:trHeight w:val="300"/>
        </w:trPr>
        <w:tc>
          <w:tcPr>
            <w:tcW w:w="49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rPr>
                <w:rFonts w:ascii="Times New Roman" w:eastAsia="Times New Roman" w:hAnsi="Times New Roman" w:cs="Times New Roman"/>
                <w:b/>
                <w:bCs/>
                <w:color w:val="000000"/>
                <w:sz w:val="20"/>
                <w:szCs w:val="20"/>
                <w:lang w:eastAsia="ru-RU"/>
              </w:rPr>
            </w:pPr>
            <w:r w:rsidRPr="004B061F">
              <w:rPr>
                <w:rFonts w:ascii="Times New Roman" w:eastAsia="Times New Roman" w:hAnsi="Times New Roman" w:cs="Times New Roman"/>
                <w:b/>
                <w:bCs/>
                <w:color w:val="000000"/>
                <w:sz w:val="20"/>
                <w:szCs w:val="20"/>
                <w:lang w:eastAsia="ru-RU"/>
              </w:rPr>
              <w:t>Расходы местного бюджета – всего</w:t>
            </w:r>
          </w:p>
        </w:tc>
        <w:tc>
          <w:tcPr>
            <w:tcW w:w="1288"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b/>
                <w:bCs/>
                <w:color w:val="000000"/>
                <w:sz w:val="20"/>
                <w:szCs w:val="20"/>
                <w:lang w:eastAsia="ru-RU"/>
              </w:rPr>
            </w:pPr>
            <w:r w:rsidRPr="004B061F">
              <w:rPr>
                <w:rFonts w:ascii="Times New Roman" w:eastAsia="Times New Roman" w:hAnsi="Times New Roman" w:cs="Times New Roman"/>
                <w:b/>
                <w:bCs/>
                <w:color w:val="000000"/>
                <w:sz w:val="20"/>
                <w:szCs w:val="20"/>
                <w:lang w:eastAsia="ru-RU"/>
              </w:rPr>
              <w:t>176327,2</w:t>
            </w:r>
          </w:p>
        </w:tc>
        <w:tc>
          <w:tcPr>
            <w:tcW w:w="1026"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Calibri" w:eastAsia="Times New Roman" w:hAnsi="Calibri" w:cs="Calibri"/>
                <w:b/>
                <w:bCs/>
                <w:color w:val="000000"/>
                <w:sz w:val="18"/>
                <w:szCs w:val="18"/>
                <w:lang w:eastAsia="ru-RU"/>
              </w:rPr>
            </w:pPr>
            <w:r w:rsidRPr="004B061F">
              <w:rPr>
                <w:rFonts w:ascii="Calibri" w:eastAsia="Times New Roman" w:hAnsi="Calibri" w:cs="Calibri"/>
                <w:b/>
                <w:bCs/>
                <w:color w:val="000000"/>
                <w:sz w:val="18"/>
                <w:szCs w:val="18"/>
                <w:lang w:eastAsia="ru-RU"/>
              </w:rPr>
              <w:t>160446,2</w:t>
            </w:r>
          </w:p>
        </w:tc>
        <w:tc>
          <w:tcPr>
            <w:tcW w:w="127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-15881</w:t>
            </w:r>
          </w:p>
        </w:tc>
        <w:tc>
          <w:tcPr>
            <w:tcW w:w="84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90,99</w:t>
            </w:r>
          </w:p>
        </w:tc>
      </w:tr>
      <w:tr w:rsidR="004B061F" w:rsidRPr="004B061F" w:rsidTr="004B061F">
        <w:trPr>
          <w:trHeight w:val="300"/>
        </w:trPr>
        <w:tc>
          <w:tcPr>
            <w:tcW w:w="49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Доля непрограммных расходов в общем объеме расходов</w:t>
            </w:r>
          </w:p>
        </w:tc>
        <w:tc>
          <w:tcPr>
            <w:tcW w:w="1288"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1,24</w:t>
            </w:r>
          </w:p>
        </w:tc>
        <w:tc>
          <w:tcPr>
            <w:tcW w:w="1026"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jc w:val="right"/>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1,35</w:t>
            </w:r>
          </w:p>
        </w:tc>
        <w:tc>
          <w:tcPr>
            <w:tcW w:w="127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 </w:t>
            </w:r>
          </w:p>
        </w:tc>
        <w:tc>
          <w:tcPr>
            <w:tcW w:w="845" w:type="dxa"/>
            <w:tcBorders>
              <w:top w:val="nil"/>
              <w:left w:val="nil"/>
              <w:bottom w:val="single" w:sz="4" w:space="0" w:color="auto"/>
              <w:right w:val="single" w:sz="4" w:space="0" w:color="auto"/>
            </w:tcBorders>
            <w:shd w:val="clear" w:color="auto" w:fill="auto"/>
            <w:noWrap/>
            <w:vAlign w:val="center"/>
            <w:hideMark/>
          </w:tcPr>
          <w:p w:rsidR="004B061F" w:rsidRPr="004B061F" w:rsidRDefault="004B061F" w:rsidP="004B061F">
            <w:pPr>
              <w:spacing w:after="0" w:line="240" w:lineRule="auto"/>
              <w:rPr>
                <w:rFonts w:ascii="Times New Roman" w:eastAsia="Times New Roman" w:hAnsi="Times New Roman" w:cs="Times New Roman"/>
                <w:color w:val="000000"/>
                <w:sz w:val="20"/>
                <w:szCs w:val="20"/>
                <w:lang w:eastAsia="ru-RU"/>
              </w:rPr>
            </w:pPr>
            <w:r w:rsidRPr="004B061F">
              <w:rPr>
                <w:rFonts w:ascii="Times New Roman" w:eastAsia="Times New Roman" w:hAnsi="Times New Roman" w:cs="Times New Roman"/>
                <w:color w:val="000000"/>
                <w:sz w:val="20"/>
                <w:szCs w:val="20"/>
                <w:lang w:eastAsia="ru-RU"/>
              </w:rPr>
              <w:t> </w:t>
            </w:r>
          </w:p>
        </w:tc>
      </w:tr>
    </w:tbl>
    <w:p w:rsidR="00BB27C5" w:rsidRPr="00BB27C5" w:rsidRDefault="004B061F" w:rsidP="004B061F">
      <w:pPr>
        <w:tabs>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Calibri"/>
          <w:color w:val="000000"/>
          <w:sz w:val="24"/>
          <w:szCs w:val="24"/>
          <w:lang w:eastAsia="ru-RU"/>
        </w:rPr>
        <w:tab/>
      </w:r>
      <w:r w:rsidR="00BB27C5" w:rsidRPr="00BB27C5">
        <w:rPr>
          <w:rFonts w:ascii="Times New Roman" w:eastAsia="Times New Roman" w:hAnsi="Times New Roman" w:cs="Calibri"/>
          <w:color w:val="000000"/>
          <w:sz w:val="24"/>
          <w:szCs w:val="24"/>
          <w:lang w:eastAsia="ru-RU"/>
        </w:rPr>
        <w:t>тыс. рублей</w:t>
      </w:r>
    </w:p>
    <w:p w:rsidR="00AF72A8" w:rsidRDefault="00DB2E60">
      <w:pPr>
        <w:rPr>
          <w:rFonts w:ascii="Calibri" w:eastAsia="Times New Roman" w:hAnsi="Calibri" w:cs="Calibri"/>
          <w:color w:val="000000"/>
          <w:szCs w:val="24"/>
          <w:lang w:eastAsia="ru-RU"/>
        </w:rPr>
      </w:pPr>
      <w:r>
        <w:rPr>
          <w:noProof/>
          <w:lang w:eastAsia="ru-RU"/>
        </w:rPr>
        <w:drawing>
          <wp:inline distT="0" distB="0" distL="0" distR="0" wp14:anchorId="76811928" wp14:editId="2DE86308">
            <wp:extent cx="5940425" cy="3762375"/>
            <wp:effectExtent l="0" t="0" r="317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B27C5" w:rsidRPr="00BB27C5">
        <w:rPr>
          <w:rFonts w:ascii="Calibri" w:eastAsia="Times New Roman" w:hAnsi="Calibri" w:cs="Calibri"/>
          <w:color w:val="000000"/>
          <w:szCs w:val="24"/>
          <w:lang w:eastAsia="ru-RU"/>
        </w:rPr>
        <w:t> </w:t>
      </w:r>
    </w:p>
    <w:p w:rsidR="002E2CC8" w:rsidRDefault="002E2CC8"/>
    <w:sectPr w:rsidR="002E2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C5"/>
    <w:rsid w:val="00177FE2"/>
    <w:rsid w:val="001B47C1"/>
    <w:rsid w:val="002C59BB"/>
    <w:rsid w:val="002E2CC8"/>
    <w:rsid w:val="003F0D55"/>
    <w:rsid w:val="004B061F"/>
    <w:rsid w:val="005277B3"/>
    <w:rsid w:val="0054681F"/>
    <w:rsid w:val="00747204"/>
    <w:rsid w:val="00786F06"/>
    <w:rsid w:val="007A30A0"/>
    <w:rsid w:val="007C5B29"/>
    <w:rsid w:val="0089260A"/>
    <w:rsid w:val="00993798"/>
    <w:rsid w:val="00A14F9B"/>
    <w:rsid w:val="00A74970"/>
    <w:rsid w:val="00AC3A43"/>
    <w:rsid w:val="00AF72A8"/>
    <w:rsid w:val="00BB27C5"/>
    <w:rsid w:val="00BE6396"/>
    <w:rsid w:val="00DB2E60"/>
    <w:rsid w:val="00F26B1D"/>
    <w:rsid w:val="00F30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225F0-ABBE-4A72-8631-3F433360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5775">
      <w:bodyDiv w:val="1"/>
      <w:marLeft w:val="0"/>
      <w:marRight w:val="0"/>
      <w:marTop w:val="0"/>
      <w:marBottom w:val="0"/>
      <w:divBdr>
        <w:top w:val="none" w:sz="0" w:space="0" w:color="auto"/>
        <w:left w:val="none" w:sz="0" w:space="0" w:color="auto"/>
        <w:bottom w:val="none" w:sz="0" w:space="0" w:color="auto"/>
        <w:right w:val="none" w:sz="0" w:space="0" w:color="auto"/>
      </w:divBdr>
    </w:div>
    <w:div w:id="53047628">
      <w:bodyDiv w:val="1"/>
      <w:marLeft w:val="0"/>
      <w:marRight w:val="0"/>
      <w:marTop w:val="0"/>
      <w:marBottom w:val="0"/>
      <w:divBdr>
        <w:top w:val="none" w:sz="0" w:space="0" w:color="auto"/>
        <w:left w:val="none" w:sz="0" w:space="0" w:color="auto"/>
        <w:bottom w:val="none" w:sz="0" w:space="0" w:color="auto"/>
        <w:right w:val="none" w:sz="0" w:space="0" w:color="auto"/>
      </w:divBdr>
    </w:div>
    <w:div w:id="196162075">
      <w:bodyDiv w:val="1"/>
      <w:marLeft w:val="0"/>
      <w:marRight w:val="0"/>
      <w:marTop w:val="0"/>
      <w:marBottom w:val="0"/>
      <w:divBdr>
        <w:top w:val="none" w:sz="0" w:space="0" w:color="auto"/>
        <w:left w:val="none" w:sz="0" w:space="0" w:color="auto"/>
        <w:bottom w:val="none" w:sz="0" w:space="0" w:color="auto"/>
        <w:right w:val="none" w:sz="0" w:space="0" w:color="auto"/>
      </w:divBdr>
    </w:div>
    <w:div w:id="929316263">
      <w:bodyDiv w:val="1"/>
      <w:marLeft w:val="0"/>
      <w:marRight w:val="0"/>
      <w:marTop w:val="0"/>
      <w:marBottom w:val="0"/>
      <w:divBdr>
        <w:top w:val="none" w:sz="0" w:space="0" w:color="auto"/>
        <w:left w:val="none" w:sz="0" w:space="0" w:color="auto"/>
        <w:bottom w:val="none" w:sz="0" w:space="0" w:color="auto"/>
        <w:right w:val="none" w:sz="0" w:space="0" w:color="auto"/>
      </w:divBdr>
    </w:div>
    <w:div w:id="1067991264">
      <w:bodyDiv w:val="1"/>
      <w:marLeft w:val="0"/>
      <w:marRight w:val="0"/>
      <w:marTop w:val="0"/>
      <w:marBottom w:val="0"/>
      <w:divBdr>
        <w:top w:val="none" w:sz="0" w:space="0" w:color="auto"/>
        <w:left w:val="none" w:sz="0" w:space="0" w:color="auto"/>
        <w:bottom w:val="none" w:sz="0" w:space="0" w:color="auto"/>
        <w:right w:val="none" w:sz="0" w:space="0" w:color="auto"/>
      </w:divBdr>
    </w:div>
    <w:div w:id="1130434730">
      <w:bodyDiv w:val="1"/>
      <w:marLeft w:val="0"/>
      <w:marRight w:val="0"/>
      <w:marTop w:val="0"/>
      <w:marBottom w:val="0"/>
      <w:divBdr>
        <w:top w:val="none" w:sz="0" w:space="0" w:color="auto"/>
        <w:left w:val="none" w:sz="0" w:space="0" w:color="auto"/>
        <w:bottom w:val="none" w:sz="0" w:space="0" w:color="auto"/>
        <w:right w:val="none" w:sz="0" w:space="0" w:color="auto"/>
      </w:divBdr>
    </w:div>
    <w:div w:id="1802459273">
      <w:bodyDiv w:val="1"/>
      <w:marLeft w:val="0"/>
      <w:marRight w:val="0"/>
      <w:marTop w:val="0"/>
      <w:marBottom w:val="0"/>
      <w:divBdr>
        <w:top w:val="none" w:sz="0" w:space="0" w:color="auto"/>
        <w:left w:val="none" w:sz="0" w:space="0" w:color="auto"/>
        <w:bottom w:val="none" w:sz="0" w:space="0" w:color="auto"/>
        <w:right w:val="none" w:sz="0" w:space="0" w:color="auto"/>
      </w:divBdr>
    </w:div>
    <w:div w:id="19953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1111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2121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13131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14141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151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Исполнение доходов к уточненному </a:t>
            </a:r>
          </a:p>
          <a:p>
            <a:pPr>
              <a:defRPr/>
            </a:pPr>
            <a:r>
              <a:rPr lang="ru-RU"/>
              <a:t>плану за 2023 год в %</a:t>
            </a:r>
          </a:p>
        </c:rich>
      </c:tx>
      <c:layout>
        <c:manualLayout>
          <c:xMode val="edge"/>
          <c:yMode val="edge"/>
          <c:x val="0.30530968443481182"/>
          <c:y val="4.289482282566936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3192357075652786"/>
          <c:y val="0.15839524517087666"/>
          <c:w val="0.5381151448237903"/>
          <c:h val="0.47421404199475065"/>
        </c:manualLayout>
      </c:layout>
      <c:pieChart>
        <c:varyColors val="1"/>
        <c:ser>
          <c:idx val="0"/>
          <c:order val="0"/>
          <c:explosion val="88"/>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Лист2!$B$6:$B$21</c:f>
              <c:strCache>
                <c:ptCount val="16"/>
                <c:pt idx="0">
                  <c:v>Налог на доходы физ. лиц</c:v>
                </c:pt>
                <c:pt idx="1">
                  <c:v>Акцизы</c:v>
                </c:pt>
                <c:pt idx="2">
                  <c:v>Упрощ. сист. налогообложения</c:v>
                </c:pt>
                <c:pt idx="3">
                  <c:v>Налог на вмененный доход</c:v>
                </c:pt>
                <c:pt idx="4">
                  <c:v>Патент</c:v>
                </c:pt>
                <c:pt idx="5">
                  <c:v>Единый с/х налог</c:v>
                </c:pt>
                <c:pt idx="6">
                  <c:v>Гос. пошлина</c:v>
                </c:pt>
                <c:pt idx="7">
                  <c:v>Аренда земли</c:v>
                </c:pt>
                <c:pt idx="8">
                  <c:v>Аренда имущества</c:v>
                </c:pt>
                <c:pt idx="9">
                  <c:v>Доходы от уставных капиталов</c:v>
                </c:pt>
                <c:pt idx="10">
                  <c:v>Плат. припользов.прир. ресурсами</c:v>
                </c:pt>
                <c:pt idx="11">
                  <c:v>Компенсации затрат и возмещение от эксплуат.имущества</c:v>
                </c:pt>
                <c:pt idx="12">
                  <c:v>Продажа имущества</c:v>
                </c:pt>
                <c:pt idx="13">
                  <c:v>Продажа земли</c:v>
                </c:pt>
                <c:pt idx="14">
                  <c:v>Штрафы</c:v>
                </c:pt>
                <c:pt idx="15">
                  <c:v>Проч. неналог. доходы</c:v>
                </c:pt>
              </c:strCache>
            </c:strRef>
          </c:cat>
          <c:val>
            <c:numRef>
              <c:f>Лист2!$C$6:$C$21</c:f>
            </c:numRef>
          </c:val>
        </c:ser>
        <c:ser>
          <c:idx val="1"/>
          <c:order val="1"/>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Лист2!$B$6:$B$21</c:f>
              <c:strCache>
                <c:ptCount val="16"/>
                <c:pt idx="0">
                  <c:v>Налог на доходы физ. лиц</c:v>
                </c:pt>
                <c:pt idx="1">
                  <c:v>Акцизы</c:v>
                </c:pt>
                <c:pt idx="2">
                  <c:v>Упрощ. сист. налогообложения</c:v>
                </c:pt>
                <c:pt idx="3">
                  <c:v>Налог на вмененный доход</c:v>
                </c:pt>
                <c:pt idx="4">
                  <c:v>Патент</c:v>
                </c:pt>
                <c:pt idx="5">
                  <c:v>Единый с/х налог</c:v>
                </c:pt>
                <c:pt idx="6">
                  <c:v>Гос. пошлина</c:v>
                </c:pt>
                <c:pt idx="7">
                  <c:v>Аренда земли</c:v>
                </c:pt>
                <c:pt idx="8">
                  <c:v>Аренда имущества</c:v>
                </c:pt>
                <c:pt idx="9">
                  <c:v>Доходы от уставных капиталов</c:v>
                </c:pt>
                <c:pt idx="10">
                  <c:v>Плат. припользов.прир. ресурсами</c:v>
                </c:pt>
                <c:pt idx="11">
                  <c:v>Компенсации затрат и возмещение от эксплуат.имущества</c:v>
                </c:pt>
                <c:pt idx="12">
                  <c:v>Продажа имущества</c:v>
                </c:pt>
                <c:pt idx="13">
                  <c:v>Продажа земли</c:v>
                </c:pt>
                <c:pt idx="14">
                  <c:v>Штрафы</c:v>
                </c:pt>
                <c:pt idx="15">
                  <c:v>Проч. неналог. доходы</c:v>
                </c:pt>
              </c:strCache>
            </c:strRef>
          </c:cat>
          <c:val>
            <c:numRef>
              <c:f>Лист2!$D$6:$D$21</c:f>
            </c:numRef>
          </c:val>
        </c:ser>
        <c:ser>
          <c:idx val="2"/>
          <c:order val="2"/>
          <c:spPr>
            <a:effectLst>
              <a:softEdge rad="0"/>
            </a:effectLst>
            <a:scene3d>
              <a:camera prst="orthographicFront"/>
              <a:lightRig rig="threePt" dir="t">
                <a:rot lat="0" lon="0" rev="9000000"/>
              </a:lightRig>
            </a:scene3d>
            <a:sp3d>
              <a:bevelT w="31750" h="120650"/>
              <a:bevelB w="69850"/>
            </a:sp3d>
          </c:spPr>
          <c:explosion val="25"/>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14"/>
            <c:bubble3D val="0"/>
            <c:explosion val="1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oftEdge rad="0"/>
              </a:effectLst>
              <a:scene3d>
                <a:camera prst="orthographicFront"/>
                <a:lightRig rig="threePt" dir="t">
                  <a:rot lat="0" lon="0" rev="9000000"/>
                </a:lightRig>
              </a:scene3d>
              <a:sp3d>
                <a:bevelT w="31750" h="120650"/>
                <a:bevelB w="69850"/>
              </a:sp3d>
            </c:spPr>
          </c:dPt>
          <c:dLbls>
            <c:dLbl>
              <c:idx val="0"/>
              <c:layout>
                <c:manualLayout>
                  <c:x val="9.1940940497616877E-2"/>
                  <c:y val="2.5977310042782541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4.0328506121850877E-2"/>
                  <c:y val="1.284329882841252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Лист2!$B$6:$B$21</c:f>
              <c:strCache>
                <c:ptCount val="16"/>
                <c:pt idx="0">
                  <c:v>Налог на доходы физ. лиц</c:v>
                </c:pt>
                <c:pt idx="1">
                  <c:v>Акцизы</c:v>
                </c:pt>
                <c:pt idx="2">
                  <c:v>Упрощ. сист. налогообложения</c:v>
                </c:pt>
                <c:pt idx="3">
                  <c:v>Налог на вмененный доход</c:v>
                </c:pt>
                <c:pt idx="4">
                  <c:v>Патент</c:v>
                </c:pt>
                <c:pt idx="5">
                  <c:v>Единый с/х налог</c:v>
                </c:pt>
                <c:pt idx="6">
                  <c:v>Гос. пошлина</c:v>
                </c:pt>
                <c:pt idx="7">
                  <c:v>Аренда земли</c:v>
                </c:pt>
                <c:pt idx="8">
                  <c:v>Аренда имущества</c:v>
                </c:pt>
                <c:pt idx="9">
                  <c:v>Доходы от уставных капиталов</c:v>
                </c:pt>
                <c:pt idx="10">
                  <c:v>Плат. припользов.прир. ресурсами</c:v>
                </c:pt>
                <c:pt idx="11">
                  <c:v>Компенсации затрат и возмещение от эксплуат.имущества</c:v>
                </c:pt>
                <c:pt idx="12">
                  <c:v>Продажа имущества</c:v>
                </c:pt>
                <c:pt idx="13">
                  <c:v>Продажа земли</c:v>
                </c:pt>
                <c:pt idx="14">
                  <c:v>Штрафы</c:v>
                </c:pt>
                <c:pt idx="15">
                  <c:v>Проч. неналог. доходы</c:v>
                </c:pt>
              </c:strCache>
            </c:strRef>
          </c:cat>
          <c:val>
            <c:numRef>
              <c:f>Лист2!$E$6:$E$21</c:f>
              <c:numCache>
                <c:formatCode>0.00</c:formatCode>
                <c:ptCount val="16"/>
                <c:pt idx="0">
                  <c:v>110.8881364229765</c:v>
                </c:pt>
                <c:pt idx="1">
                  <c:v>116.39413282629363</c:v>
                </c:pt>
                <c:pt idx="2">
                  <c:v>99.345271404588701</c:v>
                </c:pt>
                <c:pt idx="4">
                  <c:v>67.333333333333329</c:v>
                </c:pt>
                <c:pt idx="6">
                  <c:v>128.92966360856269</c:v>
                </c:pt>
                <c:pt idx="7">
                  <c:v>105.64583333333333</c:v>
                </c:pt>
                <c:pt idx="8">
                  <c:v>257.10000000000002</c:v>
                </c:pt>
                <c:pt idx="9">
                  <c:v>26.315789473684209</c:v>
                </c:pt>
                <c:pt idx="10">
                  <c:v>214.86725663716814</c:v>
                </c:pt>
                <c:pt idx="12">
                  <c:v>0.20475319926873858</c:v>
                </c:pt>
                <c:pt idx="13">
                  <c:v>712.8</c:v>
                </c:pt>
                <c:pt idx="14">
                  <c:v>821.21212121212125</c:v>
                </c:pt>
                <c:pt idx="15">
                  <c:v>-3</c:v>
                </c:pt>
              </c:numCache>
            </c:numRef>
          </c:val>
        </c:ser>
        <c:dLbls>
          <c:showLegendKey val="0"/>
          <c:showVal val="0"/>
          <c:showCatName val="0"/>
          <c:showSerName val="0"/>
          <c:showPercent val="0"/>
          <c:showBubbleSize val="0"/>
          <c:showLeaderLines val="1"/>
        </c:dLbls>
        <c:firstSliceAng val="1"/>
      </c:pieChart>
      <c:spPr>
        <a:noFill/>
        <a:ln>
          <a:noFill/>
        </a:ln>
        <a:effectLst/>
      </c:spPr>
    </c:plotArea>
    <c:legend>
      <c:legendPos val="b"/>
      <c:layout>
        <c:manualLayout>
          <c:xMode val="edge"/>
          <c:yMode val="edge"/>
          <c:x val="6.984277736671414E-2"/>
          <c:y val="0.64295132907044328"/>
          <c:w val="0.78364295627141989"/>
          <c:h val="0.23892786556042908"/>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a:t>
            </a:r>
            <a:r>
              <a:rPr lang="ru-RU" baseline="0"/>
              <a:t> исполнения </a:t>
            </a:r>
          </a:p>
          <a:p>
            <a:pPr>
              <a:defRPr/>
            </a:pPr>
            <a:r>
              <a:rPr lang="ru-RU" baseline="0"/>
              <a:t>доходов к 2022 году</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percentStacked"/>
        <c:varyColors val="0"/>
        <c:ser>
          <c:idx val="0"/>
          <c:order val="0"/>
          <c:tx>
            <c:strRef>
              <c:f>Лист1!$B$28</c:f>
              <c:strCache>
                <c:ptCount val="1"/>
                <c:pt idx="0">
                  <c:v>2022г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Лист1!$A$29:$A$47</c:f>
              <c:strCache>
                <c:ptCount val="17"/>
                <c:pt idx="0">
                  <c:v>НДФЛ</c:v>
                </c:pt>
                <c:pt idx="1">
                  <c:v>акцизы</c:v>
                </c:pt>
                <c:pt idx="2">
                  <c:v>упрощенная система налогооблажения</c:v>
                </c:pt>
                <c:pt idx="3">
                  <c:v>единый налог на вменен. доход</c:v>
                </c:pt>
                <c:pt idx="4">
                  <c:v>единый с/х налог</c:v>
                </c:pt>
                <c:pt idx="5">
                  <c:v>патент</c:v>
                </c:pt>
                <c:pt idx="6">
                  <c:v>гос. пошлина</c:v>
                </c:pt>
                <c:pt idx="7">
                  <c:v>аренда имущества</c:v>
                </c:pt>
                <c:pt idx="8">
                  <c:v>аренда земли</c:v>
                </c:pt>
                <c:pt idx="9">
                  <c:v>Платежи от муниципальных унитарных предприятий </c:v>
                </c:pt>
                <c:pt idx="10">
                  <c:v>Прочие  доходы от использования  имущества</c:v>
                </c:pt>
                <c:pt idx="11">
                  <c:v>плата за негативное воздействие на окружающую среду</c:v>
                </c:pt>
                <c:pt idx="12">
                  <c:v>доходы от реализации имущества</c:v>
                </c:pt>
                <c:pt idx="13">
                  <c:v>доходы от продажи зем. участков</c:v>
                </c:pt>
                <c:pt idx="14">
                  <c:v>штрафы</c:v>
                </c:pt>
                <c:pt idx="15">
                  <c:v>прочие неналоговые доходы</c:v>
                </c:pt>
                <c:pt idx="16">
                  <c:v>Безвозмездные поступления</c:v>
                </c:pt>
              </c:strCache>
            </c:strRef>
          </c:cat>
          <c:val>
            <c:numRef>
              <c:f>Лист1!$B$29:$B$47</c:f>
              <c:numCache>
                <c:formatCode>General</c:formatCode>
                <c:ptCount val="17"/>
                <c:pt idx="0">
                  <c:v>26161.1</c:v>
                </c:pt>
                <c:pt idx="1">
                  <c:v>7692.1</c:v>
                </c:pt>
                <c:pt idx="2">
                  <c:v>1406.9</c:v>
                </c:pt>
                <c:pt idx="3">
                  <c:v>1.1000000000000001</c:v>
                </c:pt>
                <c:pt idx="4">
                  <c:v>0</c:v>
                </c:pt>
                <c:pt idx="5">
                  <c:v>158.80000000000001</c:v>
                </c:pt>
                <c:pt idx="6">
                  <c:v>401.3</c:v>
                </c:pt>
                <c:pt idx="7">
                  <c:v>138.80000000000001</c:v>
                </c:pt>
                <c:pt idx="8">
                  <c:v>488.3</c:v>
                </c:pt>
                <c:pt idx="9">
                  <c:v>130</c:v>
                </c:pt>
                <c:pt idx="10">
                  <c:v>757.1</c:v>
                </c:pt>
                <c:pt idx="11">
                  <c:v>257</c:v>
                </c:pt>
                <c:pt idx="12">
                  <c:v>0</c:v>
                </c:pt>
                <c:pt idx="13">
                  <c:v>57.9</c:v>
                </c:pt>
                <c:pt idx="14">
                  <c:v>79</c:v>
                </c:pt>
                <c:pt idx="15">
                  <c:v>3.7</c:v>
                </c:pt>
                <c:pt idx="16">
                  <c:v>449172.2</c:v>
                </c:pt>
              </c:numCache>
            </c:numRef>
          </c:val>
        </c:ser>
        <c:ser>
          <c:idx val="1"/>
          <c:order val="1"/>
          <c:tx>
            <c:strRef>
              <c:f>Лист1!$C$28</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Лист1!$A$29:$A$47</c:f>
              <c:strCache>
                <c:ptCount val="17"/>
                <c:pt idx="0">
                  <c:v>НДФЛ</c:v>
                </c:pt>
                <c:pt idx="1">
                  <c:v>акцизы</c:v>
                </c:pt>
                <c:pt idx="2">
                  <c:v>упрощенная система налогооблажения</c:v>
                </c:pt>
                <c:pt idx="3">
                  <c:v>единый налог на вменен. доход</c:v>
                </c:pt>
                <c:pt idx="4">
                  <c:v>единый с/х налог</c:v>
                </c:pt>
                <c:pt idx="5">
                  <c:v>патент</c:v>
                </c:pt>
                <c:pt idx="6">
                  <c:v>гос. пошлина</c:v>
                </c:pt>
                <c:pt idx="7">
                  <c:v>аренда имущества</c:v>
                </c:pt>
                <c:pt idx="8">
                  <c:v>аренда земли</c:v>
                </c:pt>
                <c:pt idx="9">
                  <c:v>Платежи от муниципальных унитарных предприятий </c:v>
                </c:pt>
                <c:pt idx="10">
                  <c:v>Прочие  доходы от использования  имущества</c:v>
                </c:pt>
                <c:pt idx="11">
                  <c:v>плата за негативное воздействие на окружающую среду</c:v>
                </c:pt>
                <c:pt idx="12">
                  <c:v>доходы от реализации имущества</c:v>
                </c:pt>
                <c:pt idx="13">
                  <c:v>доходы от продажи зем. участков</c:v>
                </c:pt>
                <c:pt idx="14">
                  <c:v>штрафы</c:v>
                </c:pt>
                <c:pt idx="15">
                  <c:v>прочие неналоговые доходы</c:v>
                </c:pt>
                <c:pt idx="16">
                  <c:v>Безвозмездные поступления</c:v>
                </c:pt>
              </c:strCache>
            </c:strRef>
          </c:cat>
          <c:val>
            <c:numRef>
              <c:f>Лист1!$C$29:$C$47</c:f>
              <c:numCache>
                <c:formatCode>General</c:formatCode>
                <c:ptCount val="17"/>
                <c:pt idx="0">
                  <c:v>27180.9</c:v>
                </c:pt>
                <c:pt idx="1">
                  <c:v>8570.1</c:v>
                </c:pt>
                <c:pt idx="2">
                  <c:v>1775.3</c:v>
                </c:pt>
                <c:pt idx="3">
                  <c:v>-11</c:v>
                </c:pt>
                <c:pt idx="4">
                  <c:v>6.8</c:v>
                </c:pt>
                <c:pt idx="5">
                  <c:v>90.9</c:v>
                </c:pt>
                <c:pt idx="6">
                  <c:v>421.6</c:v>
                </c:pt>
                <c:pt idx="7">
                  <c:v>257.10000000000002</c:v>
                </c:pt>
                <c:pt idx="8">
                  <c:v>507.1</c:v>
                </c:pt>
                <c:pt idx="9">
                  <c:v>50</c:v>
                </c:pt>
                <c:pt idx="10">
                  <c:v>50</c:v>
                </c:pt>
                <c:pt idx="11">
                  <c:v>242.8</c:v>
                </c:pt>
                <c:pt idx="12">
                  <c:v>11.2</c:v>
                </c:pt>
                <c:pt idx="13">
                  <c:v>356.4</c:v>
                </c:pt>
                <c:pt idx="14">
                  <c:v>271</c:v>
                </c:pt>
                <c:pt idx="15">
                  <c:v>-0.3</c:v>
                </c:pt>
                <c:pt idx="16">
                  <c:v>113901.1</c:v>
                </c:pt>
              </c:numCache>
            </c:numRef>
          </c:val>
        </c:ser>
        <c:dLbls>
          <c:showLegendKey val="0"/>
          <c:showVal val="0"/>
          <c:showCatName val="0"/>
          <c:showSerName val="0"/>
          <c:showPercent val="0"/>
          <c:showBubbleSize val="0"/>
        </c:dLbls>
        <c:gapWidth val="150"/>
        <c:overlap val="100"/>
        <c:axId val="339569624"/>
        <c:axId val="339570408"/>
      </c:barChart>
      <c:catAx>
        <c:axId val="339569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570408"/>
        <c:crosses val="autoZero"/>
        <c:auto val="1"/>
        <c:lblAlgn val="ctr"/>
        <c:lblOffset val="100"/>
        <c:noMultiLvlLbl val="0"/>
      </c:catAx>
      <c:valAx>
        <c:axId val="3395704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569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Исполнение расходов от плана в % за 2023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061100796409047E-2"/>
          <c:y val="0.17094086959089055"/>
          <c:w val="0.90311038549860001"/>
          <c:h val="0.72237484915711969"/>
        </c:manualLayout>
      </c:layout>
      <c:pie3DChart>
        <c:varyColors val="1"/>
        <c:ser>
          <c:idx val="0"/>
          <c:order val="0"/>
          <c:cat>
            <c:strRef>
              <c:f>Лист3!$A$7:$A$17</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МЕЖБЮДЖЕТНЫЕ ТРАНСФЕРТЫ ОБЩЕГО ХАРАКТЕРА </c:v>
                </c:pt>
              </c:strCache>
            </c:strRef>
          </c:cat>
          <c:val>
            <c:numRef>
              <c:f>Лист3!$B$7:$B$17</c:f>
            </c:numRef>
          </c:val>
        </c:ser>
        <c:ser>
          <c:idx val="1"/>
          <c:order val="1"/>
          <c:cat>
            <c:strRef>
              <c:f>Лист3!$A$7:$A$17</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МЕЖБЮДЖЕТНЫЕ ТРАНСФЕРТЫ ОБЩЕГО ХАРАКТЕРА </c:v>
                </c:pt>
              </c:strCache>
            </c:strRef>
          </c:cat>
          <c:val>
            <c:numRef>
              <c:f>Лист3!$C$7:$C$17</c:f>
            </c:numRef>
          </c:val>
        </c:ser>
        <c:ser>
          <c:idx val="2"/>
          <c:order val="2"/>
          <c:spPr>
            <a:effectLst>
              <a:innerShdw blurRad="38100" dist="50800" dir="2700000">
                <a:prstClr val="black">
                  <a:alpha val="50000"/>
                </a:prstClr>
              </a:innerShdw>
            </a:effectLst>
            <a:scene3d>
              <a:camera prst="orthographicFront"/>
              <a:lightRig rig="threePt" dir="t"/>
            </a:scene3d>
            <a:sp3d prstMaterial="softEdge">
              <a:bevelB/>
              <a:contourClr>
                <a:srgbClr val="000000"/>
              </a:contourClr>
            </a:sp3d>
          </c:spPr>
          <c:explosion val="57"/>
          <c:dPt>
            <c:idx val="0"/>
            <c:bubble3D val="0"/>
            <c:spPr>
              <a:solidFill>
                <a:schemeClr val="accent1"/>
              </a:solidFill>
              <a:ln w="25400">
                <a:solidFill>
                  <a:schemeClr val="lt1"/>
                </a:solidFill>
              </a:ln>
              <a:effectLst>
                <a:innerShdw blurRad="38100" dist="50800" dir="2700000">
                  <a:prstClr val="black">
                    <a:alpha val="50000"/>
                  </a:prstClr>
                </a:innerShdw>
              </a:effectLst>
              <a:scene3d>
                <a:camera prst="orthographicFront"/>
                <a:lightRig rig="threePt" dir="t"/>
              </a:scene3d>
              <a:sp3d contourW="25400" prstMaterial="softEdge">
                <a:bevelB/>
                <a:contourClr>
                  <a:schemeClr val="lt1"/>
                </a:contourClr>
              </a:sp3d>
            </c:spPr>
          </c:dPt>
          <c:dPt>
            <c:idx val="1"/>
            <c:bubble3D val="0"/>
            <c:spPr>
              <a:solidFill>
                <a:schemeClr val="accent2"/>
              </a:solidFill>
              <a:ln w="25400">
                <a:solidFill>
                  <a:schemeClr val="lt1"/>
                </a:solidFill>
              </a:ln>
              <a:effectLst>
                <a:innerShdw blurRad="38100" dist="50800" dir="2700000">
                  <a:prstClr val="black">
                    <a:alpha val="50000"/>
                  </a:prstClr>
                </a:innerShdw>
              </a:effectLst>
              <a:scene3d>
                <a:camera prst="orthographicFront"/>
                <a:lightRig rig="threePt" dir="t"/>
              </a:scene3d>
              <a:sp3d contourW="25400" prstMaterial="softEdge">
                <a:bevelB/>
                <a:contourClr>
                  <a:schemeClr val="lt1"/>
                </a:contourClr>
              </a:sp3d>
            </c:spPr>
          </c:dPt>
          <c:dPt>
            <c:idx val="2"/>
            <c:bubble3D val="0"/>
            <c:spPr>
              <a:solidFill>
                <a:schemeClr val="accent3"/>
              </a:solidFill>
              <a:ln w="25400">
                <a:solidFill>
                  <a:schemeClr val="lt1"/>
                </a:solidFill>
              </a:ln>
              <a:effectLst>
                <a:innerShdw blurRad="38100" dist="50800" dir="2700000">
                  <a:prstClr val="black">
                    <a:alpha val="50000"/>
                  </a:prstClr>
                </a:innerShdw>
              </a:effectLst>
              <a:scene3d>
                <a:camera prst="orthographicFront"/>
                <a:lightRig rig="threePt" dir="t"/>
              </a:scene3d>
              <a:sp3d contourW="25400" prstMaterial="softEdge">
                <a:bevelB/>
                <a:contourClr>
                  <a:schemeClr val="lt1"/>
                </a:contourClr>
              </a:sp3d>
            </c:spPr>
          </c:dPt>
          <c:dPt>
            <c:idx val="3"/>
            <c:bubble3D val="0"/>
            <c:spPr>
              <a:solidFill>
                <a:schemeClr val="accent4"/>
              </a:solidFill>
              <a:ln w="25400">
                <a:solidFill>
                  <a:schemeClr val="lt1"/>
                </a:solidFill>
              </a:ln>
              <a:effectLst>
                <a:innerShdw blurRad="38100" dist="50800" dir="2700000">
                  <a:prstClr val="black">
                    <a:alpha val="50000"/>
                  </a:prstClr>
                </a:innerShdw>
              </a:effectLst>
              <a:scene3d>
                <a:camera prst="orthographicFront"/>
                <a:lightRig rig="threePt" dir="t"/>
              </a:scene3d>
              <a:sp3d contourW="25400" prstMaterial="softEdge">
                <a:bevelB/>
                <a:contourClr>
                  <a:schemeClr val="lt1"/>
                </a:contourClr>
              </a:sp3d>
            </c:spPr>
          </c:dPt>
          <c:dPt>
            <c:idx val="4"/>
            <c:bubble3D val="0"/>
            <c:spPr>
              <a:solidFill>
                <a:schemeClr val="accent5"/>
              </a:solidFill>
              <a:ln w="25400">
                <a:solidFill>
                  <a:schemeClr val="lt1"/>
                </a:solidFill>
              </a:ln>
              <a:effectLst>
                <a:innerShdw blurRad="38100" dist="50800" dir="2700000">
                  <a:prstClr val="black">
                    <a:alpha val="50000"/>
                  </a:prstClr>
                </a:innerShdw>
              </a:effectLst>
              <a:scene3d>
                <a:camera prst="orthographicFront"/>
                <a:lightRig rig="threePt" dir="t"/>
              </a:scene3d>
              <a:sp3d contourW="25400" prstMaterial="softEdge">
                <a:bevelB/>
                <a:contourClr>
                  <a:schemeClr val="lt1"/>
                </a:contourClr>
              </a:sp3d>
            </c:spPr>
          </c:dPt>
          <c:dPt>
            <c:idx val="5"/>
            <c:bubble3D val="0"/>
            <c:spPr>
              <a:solidFill>
                <a:schemeClr val="accent6"/>
              </a:solidFill>
              <a:ln w="25400">
                <a:solidFill>
                  <a:schemeClr val="lt1"/>
                </a:solidFill>
              </a:ln>
              <a:effectLst>
                <a:innerShdw blurRad="38100" dist="50800" dir="2700000">
                  <a:prstClr val="black">
                    <a:alpha val="50000"/>
                  </a:prstClr>
                </a:innerShdw>
              </a:effectLst>
              <a:scene3d>
                <a:camera prst="orthographicFront"/>
                <a:lightRig rig="threePt" dir="t"/>
              </a:scene3d>
              <a:sp3d contourW="25400" prstMaterial="softEdge">
                <a:bevelB/>
                <a:contourClr>
                  <a:schemeClr val="lt1"/>
                </a:contourClr>
              </a:sp3d>
            </c:spPr>
          </c:dPt>
          <c:dPt>
            <c:idx val="6"/>
            <c:bubble3D val="0"/>
            <c:spPr>
              <a:solidFill>
                <a:schemeClr val="accent1">
                  <a:lumMod val="60000"/>
                </a:schemeClr>
              </a:solidFill>
              <a:ln w="25400">
                <a:solidFill>
                  <a:schemeClr val="lt1"/>
                </a:solidFill>
              </a:ln>
              <a:effectLst>
                <a:innerShdw blurRad="38100" dist="50800" dir="2700000">
                  <a:prstClr val="black">
                    <a:alpha val="50000"/>
                  </a:prstClr>
                </a:innerShdw>
              </a:effectLst>
              <a:scene3d>
                <a:camera prst="orthographicFront"/>
                <a:lightRig rig="threePt" dir="t"/>
              </a:scene3d>
              <a:sp3d contourW="25400" prstMaterial="softEdge">
                <a:bevelB/>
                <a:contourClr>
                  <a:schemeClr val="lt1"/>
                </a:contourClr>
              </a:sp3d>
            </c:spPr>
          </c:dPt>
          <c:dPt>
            <c:idx val="7"/>
            <c:bubble3D val="0"/>
            <c:spPr>
              <a:solidFill>
                <a:schemeClr val="accent2">
                  <a:lumMod val="60000"/>
                </a:schemeClr>
              </a:solidFill>
              <a:ln w="25400">
                <a:solidFill>
                  <a:schemeClr val="lt1"/>
                </a:solidFill>
              </a:ln>
              <a:effectLst>
                <a:innerShdw blurRad="38100" dist="50800" dir="2700000">
                  <a:prstClr val="black">
                    <a:alpha val="50000"/>
                  </a:prstClr>
                </a:innerShdw>
              </a:effectLst>
              <a:scene3d>
                <a:camera prst="orthographicFront"/>
                <a:lightRig rig="threePt" dir="t"/>
              </a:scene3d>
              <a:sp3d contourW="25400" prstMaterial="softEdge">
                <a:bevelB/>
                <a:contourClr>
                  <a:schemeClr val="lt1"/>
                </a:contourClr>
              </a:sp3d>
            </c:spPr>
          </c:dPt>
          <c:dPt>
            <c:idx val="8"/>
            <c:bubble3D val="0"/>
            <c:spPr>
              <a:solidFill>
                <a:schemeClr val="accent3">
                  <a:lumMod val="60000"/>
                </a:schemeClr>
              </a:solidFill>
              <a:ln w="25400">
                <a:solidFill>
                  <a:schemeClr val="lt1"/>
                </a:solidFill>
              </a:ln>
              <a:effectLst>
                <a:innerShdw blurRad="38100" dist="50800" dir="2700000">
                  <a:prstClr val="black">
                    <a:alpha val="50000"/>
                  </a:prstClr>
                </a:innerShdw>
              </a:effectLst>
              <a:scene3d>
                <a:camera prst="orthographicFront"/>
                <a:lightRig rig="threePt" dir="t"/>
              </a:scene3d>
              <a:sp3d contourW="25400" prstMaterial="softEdge">
                <a:bevelB/>
                <a:contourClr>
                  <a:schemeClr val="lt1"/>
                </a:contourClr>
              </a:sp3d>
            </c:spPr>
          </c:dPt>
          <c:dPt>
            <c:idx val="9"/>
            <c:bubble3D val="0"/>
            <c:spPr>
              <a:solidFill>
                <a:schemeClr val="accent4">
                  <a:lumMod val="60000"/>
                </a:schemeClr>
              </a:solidFill>
              <a:ln w="25400">
                <a:solidFill>
                  <a:schemeClr val="lt1"/>
                </a:solidFill>
              </a:ln>
              <a:effectLst>
                <a:innerShdw blurRad="38100" dist="50800" dir="2700000">
                  <a:prstClr val="black">
                    <a:alpha val="50000"/>
                  </a:prstClr>
                </a:innerShdw>
              </a:effectLst>
              <a:scene3d>
                <a:camera prst="orthographicFront"/>
                <a:lightRig rig="threePt" dir="t"/>
              </a:scene3d>
              <a:sp3d contourW="25400" prstMaterial="softEdge">
                <a:bevelB/>
                <a:contourClr>
                  <a:schemeClr val="lt1"/>
                </a:contourClr>
              </a:sp3d>
            </c:spPr>
          </c:dPt>
          <c:dPt>
            <c:idx val="10"/>
            <c:bubble3D val="0"/>
            <c:spPr>
              <a:solidFill>
                <a:schemeClr val="accent5">
                  <a:lumMod val="60000"/>
                </a:schemeClr>
              </a:solidFill>
              <a:ln w="25400">
                <a:solidFill>
                  <a:schemeClr val="lt1"/>
                </a:solidFill>
              </a:ln>
              <a:effectLst>
                <a:innerShdw blurRad="38100" dist="50800" dir="2700000">
                  <a:prstClr val="black">
                    <a:alpha val="50000"/>
                  </a:prstClr>
                </a:innerShdw>
              </a:effectLst>
              <a:scene3d>
                <a:camera prst="orthographicFront"/>
                <a:lightRig rig="threePt" dir="t"/>
              </a:scene3d>
              <a:sp3d contourW="25400" prstMaterial="softEdge">
                <a:bevelB/>
                <a:contourClr>
                  <a:schemeClr val="lt1"/>
                </a:contourClr>
              </a:sp3d>
            </c:spPr>
          </c:dPt>
          <c:dLbls>
            <c:dLbl>
              <c:idx val="0"/>
              <c:layout>
                <c:manualLayout>
                  <c:x val="1.0905716764677609E-2"/>
                  <c:y val="6.7129901470983858E-3"/>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2.3975064621974452E-2"/>
                  <c:y val="-3.2062746231654567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1.185250584840139E-2"/>
                  <c:y val="0.11957684454651073"/>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5.5478753987073526E-2"/>
                  <c:y val="9.0082696159640069E-2"/>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4.9616048027287226E-3"/>
                  <c:y val="1.4621486547910695E-2"/>
                </c:manualLayout>
              </c:layout>
              <c:showLegendKey val="0"/>
              <c:showVal val="1"/>
              <c:showCatName val="1"/>
              <c:showSerName val="0"/>
              <c:showPercent val="0"/>
              <c:showBubbleSize val="0"/>
              <c:extLst>
                <c:ext xmlns:c15="http://schemas.microsoft.com/office/drawing/2012/chart" uri="{CE6537A1-D6FC-4f65-9D91-7224C49458BB}"/>
              </c:extLst>
            </c:dLbl>
            <c:dLbl>
              <c:idx val="6"/>
              <c:layout>
                <c:manualLayout>
                  <c:x val="3.1082874951364466E-2"/>
                  <c:y val="3.4531314618424076E-2"/>
                </c:manualLayout>
              </c:layout>
              <c:showLegendKey val="0"/>
              <c:showVal val="1"/>
              <c:showCatName val="1"/>
              <c:showSerName val="0"/>
              <c:showPercent val="0"/>
              <c:showBubbleSize val="0"/>
              <c:extLst>
                <c:ext xmlns:c15="http://schemas.microsoft.com/office/drawing/2012/chart" uri="{CE6537A1-D6FC-4f65-9D91-7224C49458BB}"/>
              </c:extLst>
            </c:dLbl>
            <c:dLbl>
              <c:idx val="8"/>
              <c:layout>
                <c:manualLayout>
                  <c:x val="-6.6578666113672252E-3"/>
                  <c:y val="-0.13944216611808372"/>
                </c:manualLayout>
              </c:layout>
              <c:showLegendKey val="0"/>
              <c:showVal val="1"/>
              <c:showCatName val="1"/>
              <c:showSerName val="0"/>
              <c:showPercent val="0"/>
              <c:showBubbleSize val="0"/>
              <c:extLst>
                <c:ext xmlns:c15="http://schemas.microsoft.com/office/drawing/2012/chart" uri="{CE6537A1-D6FC-4f65-9D91-7224C49458BB}"/>
              </c:extLst>
            </c:dLbl>
            <c:dLbl>
              <c:idx val="9"/>
              <c:layout>
                <c:manualLayout>
                  <c:x val="4.6162144804545837E-3"/>
                  <c:y val="-2.6878400092714527E-2"/>
                </c:manualLayout>
              </c:layout>
              <c:showLegendKey val="0"/>
              <c:showVal val="1"/>
              <c:showCatName val="1"/>
              <c:showSerName val="0"/>
              <c:showPercent val="0"/>
              <c:showBubbleSize val="0"/>
              <c:extLst>
                <c:ext xmlns:c15="http://schemas.microsoft.com/office/drawing/2012/chart" uri="{CE6537A1-D6FC-4f65-9D91-7224C49458BB}"/>
              </c:extLst>
            </c:dLbl>
            <c:dLbl>
              <c:idx val="10"/>
              <c:layout>
                <c:manualLayout>
                  <c:x val="-1.9531285219582938E-2"/>
                  <c:y val="-1.4781445549052662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Лист3!$A$7:$A$17</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МЕЖБЮДЖЕТНЫЕ ТРАНСФЕРТЫ ОБЩЕГО ХАРАКТЕРА </c:v>
                </c:pt>
              </c:strCache>
            </c:strRef>
          </c:cat>
          <c:val>
            <c:numRef>
              <c:f>Лист3!$D$7:$D$17</c:f>
              <c:numCache>
                <c:formatCode>0.00</c:formatCode>
                <c:ptCount val="11"/>
                <c:pt idx="0">
                  <c:v>94.278061151796649</c:v>
                </c:pt>
                <c:pt idx="1">
                  <c:v>100</c:v>
                </c:pt>
                <c:pt idx="2">
                  <c:v>97.468354430379748</c:v>
                </c:pt>
                <c:pt idx="3">
                  <c:v>89.927137926626614</c:v>
                </c:pt>
                <c:pt idx="4">
                  <c:v>77.788690893784207</c:v>
                </c:pt>
                <c:pt idx="5">
                  <c:v>5.0923936398796732</c:v>
                </c:pt>
                <c:pt idx="6">
                  <c:v>97.793337832626307</c:v>
                </c:pt>
                <c:pt idx="7">
                  <c:v>14.545932069844874</c:v>
                </c:pt>
                <c:pt idx="8">
                  <c:v>94.21344421344422</c:v>
                </c:pt>
                <c:pt idx="9">
                  <c:v>99.289660615627469</c:v>
                </c:pt>
                <c:pt idx="10">
                  <c:v>100</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исполнения расходов к 2022 году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4112707321159325"/>
          <c:y val="0.13251104229731903"/>
          <c:w val="0.37335532828705892"/>
          <c:h val="0.42586807440575719"/>
        </c:manualLayout>
      </c:layout>
      <c:doughnutChart>
        <c:varyColors val="1"/>
        <c:ser>
          <c:idx val="0"/>
          <c:order val="0"/>
          <c:cat>
            <c:strRef>
              <c:f>Лист4!$A$8:$A$17</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МЕЖБЮДЖЕТНЫЕ ТРАНСФЕРТЫ</c:v>
                </c:pt>
              </c:strCache>
            </c:strRef>
          </c:cat>
          <c:val>
            <c:numRef>
              <c:f>Лист4!$B$8:$B$17</c:f>
            </c:numRef>
          </c:val>
        </c:ser>
        <c:ser>
          <c:idx val="1"/>
          <c:order val="1"/>
          <c:cat>
            <c:strRef>
              <c:f>Лист4!$A$8:$A$17</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МЕЖБЮДЖЕТНЫЕ ТРАНСФЕРТЫ</c:v>
                </c:pt>
              </c:strCache>
            </c:strRef>
          </c:cat>
          <c:val>
            <c:numRef>
              <c:f>Лист4!$C$8:$C$17</c:f>
            </c:numRef>
          </c:val>
        </c:ser>
        <c:ser>
          <c:idx val="2"/>
          <c:order val="2"/>
          <c:cat>
            <c:strRef>
              <c:f>Лист4!$A$8:$A$17</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МЕЖБЮДЖЕТНЫЕ ТРАНСФЕРТЫ</c:v>
                </c:pt>
              </c:strCache>
            </c:strRef>
          </c:cat>
          <c:val>
            <c:numRef>
              <c:f>Лист4!$D$8:$D$17</c:f>
            </c:numRef>
          </c:val>
        </c:ser>
        <c:ser>
          <c:idx val="3"/>
          <c:order val="3"/>
          <c:cat>
            <c:strRef>
              <c:f>Лист4!$A$8:$A$17</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МЕЖБЮДЖЕТНЫЕ ТРАНСФЕРТЫ</c:v>
                </c:pt>
              </c:strCache>
            </c:strRef>
          </c:cat>
          <c:val>
            <c:numRef>
              <c:f>Лист4!$E$8:$E$17</c:f>
            </c:numRef>
          </c:val>
        </c:ser>
        <c:ser>
          <c:idx val="4"/>
          <c:order val="4"/>
          <c:explosion val="22"/>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layout>
                <c:manualLayout>
                  <c:x val="-0.10395889007465779"/>
                  <c:y val="-7.721474515008454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3188269340522572E-2"/>
                  <c:y val="-9.927610090725157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2529458191621689E-3"/>
                  <c:y val="-0.1296104650733561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3517674914973013E-2"/>
                  <c:y val="-0.1020337703768974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4947106798009075E-2"/>
                  <c:y val="-9.100309249831393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10879418728743262"/>
                  <c:y val="-3.309203363575051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9.1870647042720799E-2"/>
                  <c:y val="4.13650420446881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10154124146827036"/>
                  <c:y val="1.930368628752113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10637653868104519"/>
                  <c:y val="-1.103067787858350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1160471331065947"/>
                  <c:y val="-4.13650420446881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Лист4!$A$8:$A$17</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МЕЖБЮДЖЕТНЫЕ ТРАНСФЕРТЫ</c:v>
                </c:pt>
              </c:strCache>
            </c:strRef>
          </c:cat>
          <c:val>
            <c:numRef>
              <c:f>Лист4!$F$8:$F$17</c:f>
              <c:numCache>
                <c:formatCode>0.0</c:formatCode>
                <c:ptCount val="10"/>
                <c:pt idx="0">
                  <c:v>101.79968677019455</c:v>
                </c:pt>
                <c:pt idx="1">
                  <c:v>114.55794371814757</c:v>
                </c:pt>
                <c:pt idx="2">
                  <c:v>110.11798355380766</c:v>
                </c:pt>
                <c:pt idx="3">
                  <c:v>4.008165604754419</c:v>
                </c:pt>
                <c:pt idx="4">
                  <c:v>117.81456531440594</c:v>
                </c:pt>
                <c:pt idx="5">
                  <c:v>0.6070875550893533</c:v>
                </c:pt>
                <c:pt idx="6">
                  <c:v>688.07767319596371</c:v>
                </c:pt>
                <c:pt idx="7">
                  <c:v>949.45528949842401</c:v>
                </c:pt>
                <c:pt idx="8">
                  <c:v>459.29054054054052</c:v>
                </c:pt>
                <c:pt idx="9">
                  <c:v>110.92761770906536</c:v>
                </c:pt>
              </c:numCache>
            </c:numRef>
          </c:val>
        </c:ser>
        <c:dLbls>
          <c:showLegendKey val="0"/>
          <c:showVal val="0"/>
          <c:showCatName val="0"/>
          <c:showSerName val="0"/>
          <c:showPercent val="0"/>
          <c:showBubbleSize val="0"/>
          <c:showLeaderLines val="1"/>
        </c:dLbls>
        <c:firstSliceAng val="0"/>
        <c:holeSize val="26"/>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ru-RU"/>
              <a:t>Исполнено по муниципальным программам</a:t>
            </a:r>
          </a:p>
          <a:p>
            <a:pPr>
              <a:defRPr/>
            </a:pPr>
            <a:r>
              <a:rPr lang="ru-RU"/>
              <a:t> за 2023 год</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ru-RU"/>
        </a:p>
      </c:txPr>
    </c:title>
    <c:autoTitleDeleted val="0"/>
    <c:plotArea>
      <c:layout>
        <c:manualLayout>
          <c:layoutTarget val="inner"/>
          <c:xMode val="edge"/>
          <c:yMode val="edge"/>
          <c:x val="2.1462104457921318E-2"/>
          <c:y val="0.11866668931838498"/>
          <c:w val="0.96065280849381096"/>
          <c:h val="0.50915934319433898"/>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Лист5!$B$5:$B$12</c:f>
              <c:strCache>
                <c:ptCount val="8"/>
                <c:pt idx="0">
                  <c:v>МП "Развитие образования, молодежной политики и физической культуры и спорта в муниципальном образовании""</c:v>
                </c:pt>
                <c:pt idx="1">
                  <c:v>МП "Развитие культуры в муниципальном образовании"</c:v>
                </c:pt>
                <c:pt idx="2">
                  <c:v>МП "Содействие экономическому развитию и инвестиционной привлекательности муниципального образования"</c:v>
                </c:pt>
                <c:pt idx="3">
                  <c:v>МП "Обеспечение безопасности граждан на территории муниципального образования"</c:v>
                </c:pt>
                <c:pt idx="4">
                  <c:v>МП "Комплексное развитие систем коммунальной инфраструктуры и благоустройства муниципального образования"</c:v>
                </c:pt>
                <c:pt idx="5">
                  <c:v> МП "Развитие транспортного обслуживания населения на территории муниципального образования"</c:v>
                </c:pt>
                <c:pt idx="6">
                  <c:v>МП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c:v>
                </c:pt>
                <c:pt idx="7">
                  <c:v>Непрограммные расходы</c:v>
                </c:pt>
              </c:strCache>
            </c:strRef>
          </c:cat>
          <c:val>
            <c:numRef>
              <c:f>Лист5!$C$5:$C$12</c:f>
            </c:numRef>
          </c:val>
        </c:ser>
        <c:ser>
          <c:idx val="1"/>
          <c:order val="1"/>
          <c:spPr>
            <a:blipFill>
              <a:blip xmlns:r="http://schemas.openxmlformats.org/officeDocument/2006/relationships" r:embed="rId3"/>
              <a:tile tx="0" ty="0" sx="100000" sy="100000" flip="none" algn="tl"/>
            </a:blipFill>
            <a:ln>
              <a:noFill/>
            </a:ln>
            <a:effectLst>
              <a:innerShdw blurRad="63500" dist="50800" dir="13500000">
                <a:prstClr val="black">
                  <a:alpha val="50000"/>
                </a:prstClr>
              </a:innerShdw>
              <a:softEdge rad="31750"/>
            </a:effectLst>
            <a:scene3d>
              <a:camera prst="orthographicFront"/>
              <a:lightRig rig="threePt" dir="t"/>
            </a:scene3d>
            <a:sp3d>
              <a:bevelT/>
            </a:sp3d>
          </c:spPr>
          <c:invertIfNegative val="0"/>
          <c:pictureOptions>
            <c:pictureFormat val="stack"/>
          </c:pictureOptions>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Лист5!$B$5:$B$12</c:f>
              <c:strCache>
                <c:ptCount val="8"/>
                <c:pt idx="0">
                  <c:v>МП "Развитие образования, молодежной политики и физической культуры и спорта в муниципальном образовании""</c:v>
                </c:pt>
                <c:pt idx="1">
                  <c:v>МП "Развитие культуры в муниципальном образовании"</c:v>
                </c:pt>
                <c:pt idx="2">
                  <c:v>МП "Содействие экономическому развитию и инвестиционной привлекательности муниципального образования"</c:v>
                </c:pt>
                <c:pt idx="3">
                  <c:v>МП "Обеспечение безопасности граждан на территории муниципального образования"</c:v>
                </c:pt>
                <c:pt idx="4">
                  <c:v>МП "Комплексное развитие систем коммунальной инфраструктуры и благоустройства муниципального образования"</c:v>
                </c:pt>
                <c:pt idx="5">
                  <c:v> МП "Развитие транспортного обслуживания населения на территории муниципального образования"</c:v>
                </c:pt>
                <c:pt idx="6">
                  <c:v>МП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c:v>
                </c:pt>
                <c:pt idx="7">
                  <c:v>Непрограммные расходы</c:v>
                </c:pt>
              </c:strCache>
            </c:strRef>
          </c:cat>
          <c:val>
            <c:numRef>
              <c:f>Лист5!$D$5:$D$12</c:f>
              <c:numCache>
                <c:formatCode>General</c:formatCode>
                <c:ptCount val="8"/>
                <c:pt idx="0">
                  <c:v>83943.9</c:v>
                </c:pt>
                <c:pt idx="1">
                  <c:v>17169.900000000001</c:v>
                </c:pt>
                <c:pt idx="2">
                  <c:v>2</c:v>
                </c:pt>
                <c:pt idx="3">
                  <c:v>3723.8</c:v>
                </c:pt>
                <c:pt idx="4">
                  <c:v>5721.5</c:v>
                </c:pt>
                <c:pt idx="5">
                  <c:v>13948.1</c:v>
                </c:pt>
                <c:pt idx="6">
                  <c:v>33764.6</c:v>
                </c:pt>
                <c:pt idx="7">
                  <c:v>2173.3000000000002</c:v>
                </c:pt>
              </c:numCache>
            </c:numRef>
          </c:val>
        </c:ser>
        <c:dLbls>
          <c:dLblPos val="inEnd"/>
          <c:showLegendKey val="0"/>
          <c:showVal val="1"/>
          <c:showCatName val="0"/>
          <c:showSerName val="0"/>
          <c:showPercent val="0"/>
          <c:showBubbleSize val="0"/>
        </c:dLbls>
        <c:gapWidth val="41"/>
        <c:axId val="334434256"/>
        <c:axId val="334435824"/>
      </c:barChart>
      <c:catAx>
        <c:axId val="334434256"/>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800" b="0" i="0" u="none" strike="noStrike" kern="1200" baseline="0">
                <a:solidFill>
                  <a:schemeClr val="tx1"/>
                </a:solidFill>
                <a:effectLst/>
                <a:latin typeface="+mn-lt"/>
                <a:ea typeface="+mn-ea"/>
                <a:cs typeface="+mn-cs"/>
              </a:defRPr>
            </a:pPr>
            <a:endParaRPr lang="ru-RU"/>
          </a:p>
        </c:txPr>
        <c:crossAx val="334435824"/>
        <c:crosses val="autoZero"/>
        <c:auto val="1"/>
        <c:lblAlgn val="ctr"/>
        <c:lblOffset val="100"/>
        <c:noMultiLvlLbl val="0"/>
      </c:catAx>
      <c:valAx>
        <c:axId val="334435824"/>
        <c:scaling>
          <c:orientation val="minMax"/>
        </c:scaling>
        <c:delete val="1"/>
        <c:axPos val="l"/>
        <c:numFmt formatCode="General" sourceLinked="1"/>
        <c:majorTickMark val="none"/>
        <c:minorTickMark val="none"/>
        <c:tickLblPos val="nextTo"/>
        <c:crossAx val="334434256"/>
        <c:crosses val="autoZero"/>
        <c:crossBetween val="between"/>
      </c:valAx>
      <c:spPr>
        <a:solidFill>
          <a:schemeClr val="bg1"/>
        </a:solid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13</Pages>
  <Words>3299</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7</cp:revision>
  <dcterms:created xsi:type="dcterms:W3CDTF">2024-02-21T11:53:00Z</dcterms:created>
  <dcterms:modified xsi:type="dcterms:W3CDTF">2024-04-16T09:37:00Z</dcterms:modified>
</cp:coreProperties>
</file>